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sz w:val="32"/>
          <w:szCs w:val="32"/>
        </w:rPr>
      </w:pPr>
      <w:r>
        <w:rPr>
          <w:rFonts w:hint="eastAsia" w:ascii="楷体_GB2312" w:hAnsi="仿宋" w:eastAsia="楷体_GB2312" w:cs="楷体_GB2312"/>
          <w:sz w:val="32"/>
          <w:szCs w:val="32"/>
        </w:rPr>
        <w:t>附件：</w:t>
      </w:r>
    </w:p>
    <w:p>
      <w:pPr>
        <w:pStyle w:val="3"/>
        <w:spacing w:before="0" w:after="0" w:line="240" w:lineRule="auto"/>
        <w:jc w:val="center"/>
        <w:rPr>
          <w:rFonts w:ascii="黑体" w:hAnsi="黑体" w:eastAsia="黑体" w:cs="黑体"/>
        </w:rPr>
      </w:pPr>
      <w:r>
        <w:rPr>
          <w:rFonts w:hint="eastAsia" w:ascii="黑体" w:hAnsi="黑体" w:eastAsia="黑体" w:cs="黑体"/>
        </w:rPr>
        <w:t>景德镇市</w:t>
      </w:r>
      <w:r>
        <w:rPr>
          <w:rFonts w:hint="eastAsia" w:ascii="黑体" w:hAnsi="黑体" w:eastAsia="黑体" w:cs="黑体"/>
          <w:lang w:eastAsia="zh-CN"/>
        </w:rPr>
        <w:t>水稻畜禽良种示范繁殖场</w:t>
      </w:r>
      <w:r>
        <w:rPr>
          <w:rFonts w:hint="eastAsia" w:ascii="黑体" w:hAnsi="黑体" w:eastAsia="黑体" w:cs="黑体"/>
        </w:rPr>
        <w:t>2021年部门预算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ind w:firstLine="640" w:firstLineChars="200"/>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lang w:eastAsia="zh-CN"/>
        </w:rPr>
        <w:t>单位</w:t>
      </w:r>
      <w:r>
        <w:rPr>
          <w:rFonts w:hint="eastAsia" w:ascii="黑体" w:hAnsi="宋体" w:eastAsia="黑体" w:cs="黑体"/>
          <w:sz w:val="32"/>
          <w:szCs w:val="32"/>
        </w:rPr>
        <w:t>概况</w:t>
      </w:r>
    </w:p>
    <w:p>
      <w:pPr>
        <w:ind w:firstLine="640" w:firstLineChars="200"/>
        <w:rPr>
          <w:rFonts w:hint="eastAsia" w:ascii="仿宋_GB2312" w:hAnsi="宋体" w:eastAsia="仿宋_GB2312" w:cs="仿宋_GB2312"/>
          <w:sz w:val="32"/>
          <w:szCs w:val="32"/>
        </w:rPr>
      </w:pPr>
      <w:r>
        <w:rPr>
          <w:rFonts w:hint="eastAsia" w:ascii="仿宋" w:hAnsi="仿宋" w:eastAsia="仿宋" w:cs="仿宋"/>
          <w:i w:val="0"/>
          <w:iCs w:val="0"/>
          <w:caps w:val="0"/>
          <w:color w:val="333333"/>
          <w:spacing w:val="0"/>
          <w:sz w:val="32"/>
          <w:szCs w:val="32"/>
          <w:shd w:val="clear" w:fill="FFFFFF"/>
        </w:rPr>
        <w:t>    </w:t>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_GB2312" w:hAnsi="宋体" w:eastAsia="仿宋_GB2312" w:cs="仿宋_GB2312"/>
          <w:sz w:val="32"/>
          <w:szCs w:val="32"/>
        </w:rPr>
        <w:t>一、部门主要职责</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 </w:t>
      </w:r>
      <w:r>
        <w:rPr>
          <w:rFonts w:hint="eastAsia" w:ascii="仿宋_GB2312" w:hAnsi="宋体" w:eastAsia="仿宋_GB2312" w:cs="仿宋_GB2312"/>
          <w:sz w:val="32"/>
          <w:szCs w:val="32"/>
          <w:lang w:val="en-US" w:eastAsia="zh-CN"/>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eastAsia="zh-CN"/>
        </w:rPr>
        <w:t>部门</w:t>
      </w:r>
      <w:r>
        <w:rPr>
          <w:rFonts w:hint="eastAsia" w:ascii="仿宋_GB2312" w:hAnsi="宋体" w:eastAsia="仿宋_GB2312" w:cs="仿宋_GB2312"/>
          <w:sz w:val="32"/>
          <w:szCs w:val="32"/>
          <w:lang w:val="en-US" w:eastAsia="zh-CN"/>
        </w:rPr>
        <w:t>机构设置情况</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部门预算情况说明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1、预算收入情况说明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2、预算支出情况说明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w:t>
      </w:r>
      <w:r>
        <w:rPr>
          <w:rFonts w:hint="eastAsia" w:ascii="仿宋_GB2312" w:hAnsi="微软雅黑" w:eastAsia="仿宋_GB2312" w:cs="仿宋_GB2312"/>
          <w:b w:val="0"/>
          <w:bCs w:val="0"/>
          <w:i w:val="0"/>
          <w:caps w:val="0"/>
          <w:color w:val="000000"/>
          <w:spacing w:val="0"/>
          <w:kern w:val="0"/>
          <w:sz w:val="32"/>
          <w:szCs w:val="32"/>
          <w:shd w:val="clear" w:fill="FFFFFF"/>
          <w:lang w:val="en-US" w:eastAsia="zh-CN" w:bidi="ar"/>
        </w:rPr>
        <w:t>3</w:t>
      </w:r>
      <w:r>
        <w:rPr>
          <w:rFonts w:hint="eastAsia" w:ascii="仿宋_GB2312" w:hAnsi="微软雅黑" w:eastAsia="仿宋_GB2312" w:cs="仿宋_GB2312"/>
          <w:i w:val="0"/>
          <w:caps w:val="0"/>
          <w:color w:val="000000"/>
          <w:spacing w:val="0"/>
          <w:kern w:val="0"/>
          <w:sz w:val="32"/>
          <w:szCs w:val="32"/>
          <w:shd w:val="clear" w:fill="FFFFFF"/>
          <w:lang w:val="en-US" w:eastAsia="zh-CN" w:bidi="ar"/>
        </w:rPr>
        <w:t>、财政拨款支出说明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4、政府采购安排情况说明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5、政府性基金收支情况说明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6、“三公”经费预算情况说明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7、整体绩效目标设置情况说明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8、项目绩效目标设置情况</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9、项目情况说明：</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部门预算表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ind w:firstLine="1280" w:firstLineChars="400"/>
        <w:rPr>
          <w:rFonts w:hint="eastAsia" w:ascii="仿宋_GB2312" w:hAnsi="宋体" w:eastAsia="仿宋_GB2312" w:cs="仿宋_GB2312"/>
          <w:sz w:val="32"/>
          <w:szCs w:val="32"/>
        </w:rPr>
      </w:pPr>
      <w:r>
        <w:rPr>
          <w:rFonts w:hint="eastAsia" w:ascii="仿宋_GB2312" w:hAnsi="宋体" w:eastAsia="仿宋_GB2312" w:cs="仿宋_GB2312"/>
          <w:sz w:val="32"/>
          <w:szCs w:val="32"/>
        </w:rPr>
        <w:t>九、《</w:t>
      </w:r>
      <w:r>
        <w:rPr>
          <w:rFonts w:hint="eastAsia" w:ascii="仿宋_GB2312" w:hAnsi="宋体" w:eastAsia="仿宋_GB2312" w:cs="仿宋_GB2312"/>
          <w:sz w:val="32"/>
          <w:szCs w:val="32"/>
          <w:lang w:eastAsia="zh-CN"/>
        </w:rPr>
        <w:t>部门整体</w:t>
      </w:r>
      <w:r>
        <w:rPr>
          <w:rFonts w:hint="eastAsia" w:ascii="仿宋_GB2312" w:hAnsi="宋体" w:eastAsia="仿宋_GB2312" w:cs="仿宋_GB2312"/>
          <w:sz w:val="32"/>
          <w:szCs w:val="32"/>
        </w:rPr>
        <w:t>绩效目标表》</w:t>
      </w:r>
    </w:p>
    <w:p>
      <w:pPr>
        <w:ind w:firstLine="1280" w:firstLineChars="4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十、《</w:t>
      </w:r>
      <w:r>
        <w:rPr>
          <w:rFonts w:hint="eastAsia" w:ascii="仿宋_GB2312" w:hAnsi="宋体" w:eastAsia="仿宋_GB2312" w:cs="仿宋_GB2312"/>
          <w:sz w:val="32"/>
          <w:szCs w:val="32"/>
        </w:rPr>
        <w:t>一级项目绩效目标表》</w:t>
      </w:r>
    </w:p>
    <w:p>
      <w:pPr>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lang w:eastAsia="zh-CN"/>
        </w:rPr>
        <w:t>单位</w:t>
      </w:r>
      <w:r>
        <w:rPr>
          <w:rFonts w:hint="eastAsia" w:ascii="黑体" w:hAnsi="宋体" w:eastAsia="黑体" w:cs="黑体"/>
          <w:sz w:val="32"/>
          <w:szCs w:val="32"/>
        </w:rPr>
        <w:t>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负责水稻、家畜家禽优良品种的引进、示范繁殖、推广工作。</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编制数为</w:t>
      </w:r>
      <w:r>
        <w:rPr>
          <w:rFonts w:hint="eastAsia" w:ascii="仿宋_GB2312" w:hAnsi="宋体" w:eastAsia="仿宋_GB2312" w:cs="仿宋_GB2312"/>
          <w:sz w:val="32"/>
          <w:szCs w:val="32"/>
          <w:lang w:val="en-US" w:eastAsia="zh-CN"/>
        </w:rPr>
        <w:t>18</w:t>
      </w:r>
      <w:r>
        <w:rPr>
          <w:rFonts w:hint="eastAsia" w:ascii="仿宋_GB2312" w:hAnsi="宋体" w:eastAsia="仿宋_GB2312" w:cs="仿宋_GB2312"/>
          <w:sz w:val="32"/>
          <w:szCs w:val="32"/>
        </w:rPr>
        <w:t>人，其中行政编制</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人、全额补助事业编制</w:t>
      </w:r>
      <w:r>
        <w:rPr>
          <w:rFonts w:hint="eastAsia" w:ascii="仿宋_GB2312" w:hAnsi="宋体" w:eastAsia="仿宋_GB2312" w:cs="仿宋_GB2312"/>
          <w:sz w:val="32"/>
          <w:szCs w:val="32"/>
          <w:lang w:val="en-US" w:eastAsia="zh-CN"/>
        </w:rPr>
        <w:t>9</w:t>
      </w:r>
      <w:r>
        <w:rPr>
          <w:rFonts w:hint="eastAsia" w:ascii="仿宋_GB2312" w:hAnsi="宋体" w:eastAsia="仿宋_GB2312" w:cs="仿宋_GB2312"/>
          <w:sz w:val="32"/>
          <w:szCs w:val="32"/>
        </w:rPr>
        <w:t>人、部分补助事业编制</w:t>
      </w:r>
      <w:r>
        <w:rPr>
          <w:rFonts w:hint="eastAsia" w:ascii="仿宋_GB2312" w:hAnsi="宋体" w:eastAsia="仿宋_GB2312" w:cs="仿宋_GB2312"/>
          <w:sz w:val="32"/>
          <w:szCs w:val="32"/>
          <w:lang w:val="en-US" w:eastAsia="zh-CN"/>
        </w:rPr>
        <w:t>9</w:t>
      </w:r>
      <w:r>
        <w:rPr>
          <w:rFonts w:hint="eastAsia" w:ascii="仿宋_GB2312" w:hAnsi="宋体" w:eastAsia="仿宋_GB2312" w:cs="仿宋_GB2312"/>
          <w:sz w:val="32"/>
          <w:szCs w:val="32"/>
        </w:rPr>
        <w:t>人、自收自支事业编制</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人；实有人数</w:t>
      </w:r>
      <w:r>
        <w:rPr>
          <w:rFonts w:hint="eastAsia" w:ascii="仿宋_GB2312" w:hAnsi="宋体" w:eastAsia="仿宋_GB2312" w:cs="仿宋_GB2312"/>
          <w:sz w:val="32"/>
          <w:szCs w:val="32"/>
          <w:lang w:val="en-US" w:eastAsia="zh-CN"/>
        </w:rPr>
        <w:t>15</w:t>
      </w:r>
      <w:r>
        <w:rPr>
          <w:rFonts w:hint="eastAsia" w:ascii="仿宋_GB2312" w:hAnsi="宋体" w:eastAsia="仿宋_GB2312" w:cs="仿宋_GB2312"/>
          <w:sz w:val="32"/>
          <w:szCs w:val="32"/>
        </w:rPr>
        <w:t>人，其中在职人数为</w:t>
      </w:r>
      <w:r>
        <w:rPr>
          <w:rFonts w:hint="eastAsia" w:ascii="仿宋_GB2312" w:hAnsi="宋体" w:eastAsia="仿宋_GB2312" w:cs="仿宋_GB2312"/>
          <w:sz w:val="32"/>
          <w:szCs w:val="32"/>
          <w:lang w:val="en-US" w:eastAsia="zh-CN"/>
        </w:rPr>
        <w:t>11</w:t>
      </w:r>
      <w:r>
        <w:rPr>
          <w:rFonts w:hint="eastAsia" w:ascii="仿宋_GB2312" w:hAnsi="宋体" w:eastAsia="仿宋_GB2312" w:cs="仿宋_GB2312"/>
          <w:sz w:val="32"/>
          <w:szCs w:val="32"/>
        </w:rPr>
        <w:t>人，包括行政人员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人、全额补助事业人员</w:t>
      </w:r>
      <w:r>
        <w:rPr>
          <w:rFonts w:hint="eastAsia" w:ascii="仿宋_GB2312" w:hAnsi="宋体" w:eastAsia="仿宋_GB2312" w:cs="仿宋_GB2312"/>
          <w:sz w:val="32"/>
          <w:szCs w:val="32"/>
          <w:lang w:val="en-US" w:eastAsia="zh-CN"/>
        </w:rPr>
        <w:t>9</w:t>
      </w:r>
      <w:r>
        <w:rPr>
          <w:rFonts w:hint="eastAsia" w:ascii="仿宋_GB2312" w:hAnsi="宋体" w:eastAsia="仿宋_GB2312" w:cs="仿宋_GB2312"/>
          <w:sz w:val="32"/>
          <w:szCs w:val="32"/>
        </w:rPr>
        <w:t>人、部分补助事业编人员</w:t>
      </w:r>
      <w:r>
        <w:rPr>
          <w:rFonts w:hint="eastAsia" w:ascii="仿宋_GB2312" w:hAnsi="宋体" w:eastAsia="仿宋_GB2312" w:cs="仿宋_GB2312"/>
          <w:sz w:val="32"/>
          <w:szCs w:val="32"/>
          <w:lang w:val="en-US" w:eastAsia="zh-CN"/>
        </w:rPr>
        <w:t>2</w:t>
      </w:r>
      <w:r>
        <w:rPr>
          <w:rFonts w:hint="eastAsia" w:ascii="仿宋_GB2312" w:hAnsi="宋体" w:eastAsia="仿宋_GB2312" w:cs="仿宋_GB2312"/>
          <w:sz w:val="32"/>
          <w:szCs w:val="32"/>
        </w:rPr>
        <w:t>人、自收自支事业人员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人；离休人员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人；退休人员</w:t>
      </w:r>
      <w:r>
        <w:rPr>
          <w:rFonts w:hint="eastAsia" w:ascii="仿宋_GB2312" w:hAnsi="宋体" w:eastAsia="仿宋_GB2312" w:cs="仿宋_GB2312"/>
          <w:sz w:val="32"/>
          <w:szCs w:val="32"/>
          <w:lang w:val="en-US" w:eastAsia="zh-CN"/>
        </w:rPr>
        <w:t>4</w:t>
      </w:r>
      <w:r>
        <w:rPr>
          <w:rFonts w:hint="eastAsia" w:ascii="仿宋_GB2312" w:hAnsi="宋体" w:eastAsia="仿宋_GB2312" w:cs="仿宋_GB2312"/>
          <w:sz w:val="32"/>
          <w:szCs w:val="32"/>
        </w:rPr>
        <w:t>人。在校学生</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人，其中：高等学校</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人、中等专业学校</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人，其他</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w:t>
      </w:r>
    </w:p>
    <w:p>
      <w:pPr>
        <w:rPr>
          <w:rFonts w:ascii="黑体" w:hAnsi="宋体" w:eastAsia="黑体" w:cs="Times New Roman"/>
          <w:sz w:val="32"/>
          <w:szCs w:val="32"/>
        </w:rPr>
      </w:pPr>
      <w:bookmarkStart w:id="0" w:name="_GoBack"/>
      <w:bookmarkEnd w:id="0"/>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部门预算情况说明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rPr>
        <w:t>收入预算总额为238.81万元，与上年预算相比增</w:t>
      </w:r>
      <w:r>
        <w:rPr>
          <w:rFonts w:hint="eastAsia" w:ascii="仿宋_GB2312" w:hAnsi="宋体" w:eastAsia="仿宋_GB2312" w:cs="仿宋_GB2312"/>
          <w:sz w:val="32"/>
          <w:szCs w:val="32"/>
          <w:lang w:val="en-US" w:eastAsia="zh-CN"/>
        </w:rPr>
        <w:t>21.97万元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增加了人员工资福利收入</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109.68</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45.93</w:t>
      </w:r>
      <w:r>
        <w:rPr>
          <w:rFonts w:ascii="仿宋_GB2312" w:hAnsi="宋体" w:eastAsia="仿宋_GB2312" w:cs="仿宋_GB2312"/>
          <w:sz w:val="32"/>
          <w:szCs w:val="32"/>
        </w:rPr>
        <w:t>%</w:t>
      </w:r>
      <w:r>
        <w:rPr>
          <w:rFonts w:hint="eastAsia" w:ascii="仿宋_GB2312" w:hAnsi="宋体" w:eastAsia="仿宋_GB2312" w:cs="仿宋_GB2312"/>
          <w:sz w:val="32"/>
          <w:szCs w:val="32"/>
        </w:rPr>
        <w:t>；政府性基金拨款收入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；事业单位经营收入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；当年其他各项收入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；上年结余结转收入129.13万元，占收入预算总额的</w:t>
      </w:r>
      <w:r>
        <w:rPr>
          <w:rFonts w:hint="eastAsia" w:ascii="仿宋_GB2312" w:hAnsi="宋体" w:eastAsia="仿宋_GB2312" w:cs="仿宋_GB2312"/>
          <w:sz w:val="32"/>
          <w:szCs w:val="32"/>
          <w:lang w:val="en-US" w:eastAsia="zh-CN"/>
        </w:rPr>
        <w:t>54.07</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支出预算总额为238.81万元，与上年预算相比增</w:t>
      </w:r>
      <w:r>
        <w:rPr>
          <w:rFonts w:hint="eastAsia" w:ascii="仿宋_GB2312" w:hAnsi="宋体" w:eastAsia="仿宋_GB2312" w:cs="仿宋_GB2312"/>
          <w:sz w:val="32"/>
          <w:szCs w:val="32"/>
          <w:lang w:val="en-US" w:eastAsia="zh-CN"/>
        </w:rPr>
        <w:t>21.97万元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增加人员工资福利支出</w:t>
      </w:r>
      <w:r>
        <w:rPr>
          <w:rFonts w:hint="eastAsia" w:ascii="仿宋_GB2312" w:hAnsi="宋体" w:eastAsia="仿宋_GB2312" w:cs="仿宋_GB2312"/>
          <w:sz w:val="32"/>
          <w:szCs w:val="32"/>
        </w:rPr>
        <w:t>。其中：按支出项目类别划分：基本支出220.21万元，占支出预算总额的</w:t>
      </w:r>
      <w:r>
        <w:rPr>
          <w:rFonts w:hint="eastAsia" w:ascii="仿宋_GB2312" w:hAnsi="宋体" w:eastAsia="仿宋_GB2312" w:cs="仿宋_GB2312"/>
          <w:sz w:val="32"/>
          <w:szCs w:val="32"/>
          <w:lang w:val="en-US" w:eastAsia="zh-CN"/>
        </w:rPr>
        <w:t>92.21</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，包括工资福利支出92.83万元、商品和服务支出12.42万元、对个人和家庭的补助113.96万元、其他资本性支出</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18.6</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7.79</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18.6</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万元、债务利息支出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万元、基本建设支出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万元、其他相关支出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万元；事业经营支出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；对附属单位补助支出的</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；上缴上级支出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lang w:val="en-US" w:eastAsia="zh-CN"/>
        </w:rPr>
        <w:t>.</w:t>
      </w:r>
    </w:p>
    <w:p>
      <w:pPr>
        <w:ind w:firstLine="640" w:firstLineChars="200"/>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rPr>
        <w:t>按支出功能项目科目划分：一般公共服务</w:t>
      </w:r>
      <w:r>
        <w:rPr>
          <w:rFonts w:hint="eastAsia" w:ascii="仿宋_GB2312" w:hAnsi="宋体" w:eastAsia="仿宋_GB2312" w:cs="仿宋_GB2312"/>
          <w:sz w:val="32"/>
          <w:szCs w:val="32"/>
          <w:lang w:val="en-US" w:eastAsia="zh-CN"/>
        </w:rPr>
        <w:t>238.81</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；公共安全支出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lang w:val="en-US" w:eastAsia="zh-CN"/>
        </w:rPr>
        <w:t>.</w:t>
      </w:r>
    </w:p>
    <w:p>
      <w:pPr>
        <w:ind w:firstLine="640" w:firstLineChars="200"/>
        <w:rPr>
          <w:rFonts w:hint="eastAsia" w:ascii="仿宋_GB2312" w:eastAsia="仿宋_GB2312" w:cs="Times New Roman"/>
          <w:sz w:val="32"/>
          <w:szCs w:val="32"/>
          <w:lang w:val="en-US" w:eastAsia="zh-CN"/>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206.79</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86.6</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31.02</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12.99</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其他资本性支出</w:t>
      </w:r>
      <w:r>
        <w:rPr>
          <w:rFonts w:hint="eastAsia" w:ascii="仿宋_GB2312" w:hAnsi="宋体" w:eastAsia="仿宋_GB2312" w:cs="仿宋_GB2312"/>
          <w:sz w:val="32"/>
          <w:szCs w:val="32"/>
          <w:lang w:val="en-US" w:eastAsia="zh-CN"/>
        </w:rPr>
        <w:t>1万元，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0.41</w:t>
      </w:r>
      <w:r>
        <w:rPr>
          <w:rFonts w:ascii="仿宋_GB2312" w:hAnsi="宋体" w:eastAsia="仿宋_GB2312" w:cs="仿宋_GB2312"/>
          <w:sz w:val="32"/>
          <w:szCs w:val="32"/>
        </w:rPr>
        <w:t>%</w:t>
      </w:r>
      <w:r>
        <w:rPr>
          <w:rFonts w:hint="eastAsia" w:ascii="仿宋_GB2312" w:hAnsi="宋体" w:eastAsia="仿宋_GB2312" w:cs="仿宋_GB2312"/>
          <w:sz w:val="32"/>
          <w:szCs w:val="32"/>
          <w:lang w:val="en-US" w:eastAsia="zh-CN"/>
        </w:rPr>
        <w:t>.</w:t>
      </w:r>
    </w:p>
    <w:p>
      <w:pPr>
        <w:numPr>
          <w:ilvl w:val="0"/>
          <w:numId w:val="1"/>
        </w:numPr>
        <w:ind w:firstLine="643" w:firstLineChars="200"/>
        <w:rPr>
          <w:rFonts w:hint="eastAsia" w:ascii="仿宋_GB2312" w:eastAsia="仿宋_GB2312"/>
          <w:b/>
          <w:color w:val="000000"/>
          <w:sz w:val="32"/>
          <w:szCs w:val="30"/>
        </w:rPr>
      </w:pPr>
      <w:r>
        <w:rPr>
          <w:rFonts w:hint="eastAsia" w:ascii="仿宋_GB2312" w:eastAsia="仿宋_GB2312"/>
          <w:b/>
          <w:color w:val="000000"/>
          <w:sz w:val="32"/>
          <w:szCs w:val="30"/>
        </w:rPr>
        <w:t>财政拨款支出情况</w:t>
      </w:r>
    </w:p>
    <w:p>
      <w:pPr>
        <w:numPr>
          <w:numId w:val="0"/>
        </w:numPr>
        <w:ind w:firstLine="640" w:firstLineChars="200"/>
        <w:rPr>
          <w:rFonts w:ascii="仿宋_GB2312" w:eastAsia="仿宋_GB2312"/>
          <w:b/>
          <w:color w:val="000000"/>
          <w:sz w:val="32"/>
          <w:szCs w:val="30"/>
        </w:rPr>
      </w:pPr>
      <w:r>
        <w:rPr>
          <w:rFonts w:hint="eastAsia" w:ascii="仿宋_GB2312" w:hAnsi="宋体" w:eastAsia="仿宋_GB2312" w:cs="仿宋_GB2312"/>
          <w:sz w:val="32"/>
          <w:szCs w:val="32"/>
          <w:highlight w:val="none"/>
        </w:rPr>
        <w:t>财政拨款支出预算</w:t>
      </w:r>
      <w:r>
        <w:rPr>
          <w:rFonts w:hint="eastAsia" w:ascii="仿宋_GB2312" w:hAnsi="宋体" w:eastAsia="仿宋_GB2312" w:cs="仿宋_GB2312"/>
          <w:sz w:val="32"/>
          <w:szCs w:val="32"/>
          <w:highlight w:val="none"/>
          <w:lang w:val="en-US" w:eastAsia="zh-CN"/>
        </w:rPr>
        <w:t>109.68</w:t>
      </w:r>
      <w:r>
        <w:rPr>
          <w:rFonts w:hint="eastAsia" w:ascii="仿宋_GB2312" w:hAnsi="宋体" w:eastAsia="仿宋_GB2312" w:cs="仿宋_GB2312"/>
          <w:sz w:val="32"/>
          <w:szCs w:val="32"/>
          <w:highlight w:val="none"/>
        </w:rPr>
        <w:t>万元，占支出预算总额的</w:t>
      </w:r>
      <w:r>
        <w:rPr>
          <w:rFonts w:hint="eastAsia" w:ascii="仿宋_GB2312" w:hAnsi="宋体" w:eastAsia="仿宋_GB2312" w:cs="仿宋_GB2312"/>
          <w:sz w:val="32"/>
          <w:szCs w:val="32"/>
          <w:highlight w:val="none"/>
          <w:lang w:val="en-US" w:eastAsia="zh-CN"/>
        </w:rPr>
        <w:t>45.93</w:t>
      </w:r>
      <w:r>
        <w:rPr>
          <w:rFonts w:ascii="仿宋_GB2312" w:hAnsi="宋体" w:eastAsia="仿宋_GB2312" w:cs="仿宋_GB2312"/>
          <w:sz w:val="32"/>
          <w:szCs w:val="32"/>
          <w:highlight w:val="none"/>
        </w:rPr>
        <w:t>%</w:t>
      </w:r>
      <w:r>
        <w:rPr>
          <w:rFonts w:hint="eastAsia" w:ascii="仿宋_GB2312" w:hAnsi="宋体" w:eastAsia="仿宋_GB2312" w:cs="仿宋_GB2312"/>
          <w:sz w:val="32"/>
          <w:szCs w:val="32"/>
          <w:highlight w:val="none"/>
        </w:rPr>
        <w:t>，与上年预算相比增</w:t>
      </w:r>
      <w:r>
        <w:rPr>
          <w:rFonts w:hint="eastAsia" w:ascii="仿宋_GB2312" w:hAnsi="宋体" w:eastAsia="仿宋_GB2312" w:cs="仿宋_GB2312"/>
          <w:sz w:val="32"/>
          <w:szCs w:val="32"/>
          <w:highlight w:val="none"/>
          <w:lang w:val="en-US" w:eastAsia="zh-CN"/>
        </w:rPr>
        <w:t>6.29万元</w:t>
      </w:r>
      <w:r>
        <w:rPr>
          <w:rFonts w:hint="eastAsia" w:ascii="仿宋_GB2312" w:hAnsi="宋体" w:eastAsia="仿宋_GB2312" w:cs="仿宋_GB2312"/>
          <w:sz w:val="32"/>
          <w:szCs w:val="32"/>
          <w:highlight w:val="none"/>
        </w:rPr>
        <w:t>，</w:t>
      </w:r>
      <w:r>
        <w:rPr>
          <w:rFonts w:hint="eastAsia" w:ascii="仿宋_GB2312" w:hAnsi="宋体" w:eastAsia="仿宋_GB2312" w:cs="仿宋_GB2312"/>
          <w:sz w:val="32"/>
          <w:szCs w:val="32"/>
          <w:highlight w:val="none"/>
          <w:lang w:eastAsia="zh-CN"/>
        </w:rPr>
        <w:t>增加了人员工资福利支出</w:t>
      </w:r>
      <w:r>
        <w:rPr>
          <w:rFonts w:hint="eastAsia" w:ascii="仿宋_GB2312" w:hAnsi="宋体" w:eastAsia="仿宋_GB2312" w:cs="仿宋_GB2312"/>
          <w:sz w:val="32"/>
          <w:szCs w:val="32"/>
          <w:highlight w:val="none"/>
        </w:rPr>
        <w:t>。具体支出情况是：农林水事务</w:t>
      </w:r>
      <w:r>
        <w:rPr>
          <w:rFonts w:hint="eastAsia" w:ascii="仿宋_GB2312" w:hAnsi="宋体" w:eastAsia="仿宋_GB2312" w:cs="仿宋_GB2312"/>
          <w:sz w:val="32"/>
          <w:szCs w:val="32"/>
          <w:highlight w:val="none"/>
          <w:lang w:val="en-US" w:eastAsia="zh-CN"/>
        </w:rPr>
        <w:t>109.68</w:t>
      </w:r>
      <w:r>
        <w:rPr>
          <w:rFonts w:hint="eastAsia" w:ascii="仿宋_GB2312" w:hAnsi="宋体" w:eastAsia="仿宋_GB2312" w:cs="仿宋_GB2312"/>
          <w:sz w:val="32"/>
          <w:szCs w:val="32"/>
          <w:highlight w:val="none"/>
        </w:rPr>
        <w:t>万元，占财政拨款支出的</w:t>
      </w:r>
      <w:r>
        <w:rPr>
          <w:rFonts w:hint="eastAsia" w:ascii="仿宋_GB2312" w:hAnsi="宋体" w:eastAsia="仿宋_GB2312" w:cs="仿宋_GB2312"/>
          <w:sz w:val="32"/>
          <w:szCs w:val="32"/>
          <w:highlight w:val="none"/>
          <w:lang w:val="en-US" w:eastAsia="zh-CN"/>
        </w:rPr>
        <w:t>100</w:t>
      </w:r>
      <w:r>
        <w:rPr>
          <w:rFonts w:ascii="仿宋_GB2312" w:hAnsi="宋体" w:eastAsia="仿宋_GB2312" w:cs="仿宋_GB2312"/>
          <w:sz w:val="32"/>
          <w:szCs w:val="32"/>
          <w:highlight w:val="none"/>
        </w:rPr>
        <w:t>%</w:t>
      </w:r>
      <w:r>
        <w:rPr>
          <w:rFonts w:hint="eastAsia" w:ascii="仿宋_GB2312" w:hAnsi="宋体" w:eastAsia="仿宋_GB2312" w:cs="仿宋_GB2312"/>
          <w:sz w:val="32"/>
          <w:szCs w:val="32"/>
          <w:highlight w:val="none"/>
        </w:rPr>
        <w:t>；教育</w:t>
      </w:r>
      <w:r>
        <w:rPr>
          <w:rFonts w:hint="eastAsia" w:ascii="仿宋_GB2312" w:hAnsi="宋体" w:eastAsia="仿宋_GB2312" w:cs="仿宋_GB2312"/>
          <w:sz w:val="32"/>
          <w:szCs w:val="32"/>
          <w:highlight w:val="none"/>
          <w:lang w:val="en-US" w:eastAsia="zh-CN"/>
        </w:rPr>
        <w:t>0</w:t>
      </w:r>
      <w:r>
        <w:rPr>
          <w:rFonts w:hint="eastAsia" w:ascii="仿宋_GB2312" w:hAnsi="宋体" w:eastAsia="仿宋_GB2312" w:cs="仿宋_GB2312"/>
          <w:sz w:val="32"/>
          <w:szCs w:val="32"/>
          <w:highlight w:val="none"/>
        </w:rPr>
        <w:t>万元，占财政拨款支出</w:t>
      </w:r>
      <w:r>
        <w:rPr>
          <w:rFonts w:hint="eastAsia" w:ascii="仿宋_GB2312" w:hAnsi="宋体" w:eastAsia="仿宋_GB2312" w:cs="仿宋_GB2312"/>
          <w:sz w:val="32"/>
          <w:szCs w:val="32"/>
          <w:highlight w:val="none"/>
          <w:lang w:val="en-US" w:eastAsia="zh-CN"/>
        </w:rPr>
        <w:t>0</w:t>
      </w:r>
      <w:r>
        <w:rPr>
          <w:rFonts w:ascii="仿宋_GB2312" w:hAnsi="宋体" w:eastAsia="仿宋_GB2312" w:cs="仿宋_GB2312"/>
          <w:sz w:val="32"/>
          <w:szCs w:val="32"/>
          <w:highlight w:val="none"/>
        </w:rPr>
        <w:t>%</w:t>
      </w:r>
      <w:r>
        <w:rPr>
          <w:rFonts w:hint="eastAsia" w:ascii="仿宋_GB2312" w:hAnsi="宋体" w:eastAsia="仿宋_GB2312" w:cs="仿宋_GB2312"/>
          <w:sz w:val="32"/>
          <w:szCs w:val="32"/>
          <w:highlight w:val="none"/>
          <w:lang w:val="en-US" w:eastAsia="zh-CN"/>
        </w:rPr>
        <w:t>.</w:t>
      </w:r>
    </w:p>
    <w:p>
      <w:pPr>
        <w:numPr>
          <w:ilvl w:val="0"/>
          <w:numId w:val="2"/>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eastAsia="zh-CN"/>
        </w:rPr>
        <w:t>本</w:t>
      </w:r>
      <w:r>
        <w:rPr>
          <w:rFonts w:hint="eastAsia" w:ascii="仿宋_GB2312" w:hAnsi="宋体" w:eastAsia="仿宋_GB2312" w:cs="仿宋_GB2312"/>
          <w:sz w:val="32"/>
          <w:szCs w:val="32"/>
        </w:rPr>
        <w:t>集中采购预算</w:t>
      </w:r>
      <w:r>
        <w:rPr>
          <w:rFonts w:hint="eastAsia" w:ascii="仿宋_GB2312" w:hAnsi="宋体" w:eastAsia="仿宋_GB2312" w:cs="仿宋_GB2312"/>
          <w:sz w:val="32"/>
          <w:szCs w:val="32"/>
          <w:lang w:eastAsia="zh-CN"/>
        </w:rPr>
        <w:t>支出</w:t>
      </w:r>
      <w:r>
        <w:rPr>
          <w:rFonts w:hint="eastAsia" w:ascii="仿宋_GB2312" w:hAnsi="宋体" w:eastAsia="仿宋_GB2312" w:cs="仿宋_GB2312"/>
          <w:sz w:val="32"/>
          <w:szCs w:val="32"/>
          <w:lang w:val="en-US" w:eastAsia="zh-CN"/>
        </w:rPr>
        <w:t>1万元</w:t>
      </w:r>
      <w:r>
        <w:rPr>
          <w:rFonts w:hint="eastAsia" w:ascii="仿宋_GB2312" w:hAnsi="宋体" w:eastAsia="仿宋_GB2312" w:cs="仿宋_GB2312"/>
          <w:sz w:val="32"/>
          <w:szCs w:val="32"/>
        </w:rPr>
        <w:t>，与上年预算对比减</w:t>
      </w:r>
      <w:r>
        <w:rPr>
          <w:rFonts w:hint="eastAsia" w:ascii="仿宋_GB2312" w:hAnsi="宋体" w:eastAsia="仿宋_GB2312" w:cs="仿宋_GB2312"/>
          <w:sz w:val="32"/>
          <w:szCs w:val="32"/>
          <w:lang w:val="en-US" w:eastAsia="zh-CN"/>
        </w:rPr>
        <w:t>0.7万元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压缩其他资本性支出，增加民生保障支出</w:t>
      </w:r>
      <w:r>
        <w:rPr>
          <w:rFonts w:hint="eastAsia" w:ascii="仿宋_GB2312" w:hAnsi="宋体" w:eastAsia="仿宋_GB2312" w:cs="仿宋_GB2312"/>
          <w:sz w:val="32"/>
          <w:szCs w:val="32"/>
        </w:rPr>
        <w:t>。</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left="420" w:leftChars="200" w:firstLine="640" w:firstLineChars="200"/>
        <w:rPr>
          <w:rFonts w:ascii="仿宋_GB2312" w:eastAsia="仿宋_GB2312" w:cs="Times New Roman"/>
          <w:sz w:val="32"/>
          <w:szCs w:val="32"/>
        </w:rPr>
      </w:pPr>
      <w:r>
        <w:rPr>
          <w:rFonts w:hint="eastAsia" w:ascii="仿宋_GB2312" w:hAnsi="宋体" w:eastAsia="仿宋_GB2312" w:cs="仿宋_GB2312"/>
          <w:sz w:val="32"/>
          <w:szCs w:val="32"/>
          <w:lang w:eastAsia="zh-CN"/>
        </w:rPr>
        <w:t>本单位</w:t>
      </w:r>
      <w:r>
        <w:rPr>
          <w:rFonts w:hint="eastAsia" w:ascii="仿宋_GB2312" w:hAnsi="宋体" w:eastAsia="仿宋_GB2312" w:cs="仿宋_GB2312"/>
          <w:sz w:val="32"/>
          <w:szCs w:val="32"/>
        </w:rPr>
        <w:t>无政府基金收支预算</w:t>
      </w:r>
      <w:r>
        <w:rPr>
          <w:rFonts w:hint="eastAsia" w:ascii="仿宋_GB2312" w:hAnsi="宋体" w:eastAsia="仿宋_GB2312" w:cs="仿宋_GB2312"/>
          <w:sz w:val="32"/>
          <w:szCs w:val="32"/>
          <w:lang w:eastAsia="zh-CN"/>
        </w:rPr>
        <w:t>情况</w:t>
      </w:r>
      <w:r>
        <w:rPr>
          <w:rFonts w:hint="eastAsia" w:ascii="仿宋_GB2312" w:hAnsi="宋体" w:eastAsia="仿宋_GB2312" w:cs="仿宋_GB2312"/>
          <w:sz w:val="32"/>
          <w:szCs w:val="32"/>
        </w:rPr>
        <w:t>。</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（六）2021年“三公”经费预算情况说明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“三公”经费年初预算安排</w:t>
      </w:r>
      <w:r>
        <w:rPr>
          <w:rFonts w:hint="eastAsia" w:ascii="仿宋_GB2312" w:hAnsi="宋体" w:eastAsia="仿宋_GB2312" w:cs="仿宋_GB2312"/>
          <w:sz w:val="32"/>
          <w:szCs w:val="32"/>
          <w:lang w:val="en-US" w:eastAsia="zh-CN"/>
        </w:rPr>
        <w:t>3.2</w:t>
      </w:r>
      <w:r>
        <w:rPr>
          <w:rFonts w:hint="eastAsia" w:ascii="仿宋_GB2312" w:hAnsi="宋体" w:eastAsia="仿宋_GB2312" w:cs="仿宋_GB2312"/>
          <w:sz w:val="32"/>
          <w:szCs w:val="32"/>
        </w:rPr>
        <w:t>万元。其中：因公出国（境）费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0.7</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2.5</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公务用车购置费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widowControl/>
        <w:spacing w:line="600" w:lineRule="exact"/>
        <w:ind w:firstLine="643" w:firstLineChars="200"/>
        <w:jc w:val="left"/>
        <w:rPr>
          <w:rFonts w:ascii="仿宋_GB2312" w:eastAsia="仿宋_GB2312"/>
          <w:b/>
          <w:color w:val="000000"/>
          <w:sz w:val="32"/>
          <w:szCs w:val="30"/>
        </w:rPr>
      </w:pPr>
      <w:r>
        <w:rPr>
          <w:rFonts w:hint="eastAsia" w:ascii="仿宋_GB2312" w:hAnsi="宋体" w:eastAsia="仿宋_GB2312" w:cs="仿宋_GB2312"/>
          <w:b/>
          <w:bCs/>
          <w:sz w:val="32"/>
          <w:szCs w:val="32"/>
        </w:rPr>
        <w:t>（七）</w:t>
      </w:r>
      <w:r>
        <w:rPr>
          <w:rFonts w:hint="eastAsia" w:ascii="仿宋_GB2312" w:eastAsia="仿宋_GB2312"/>
          <w:b/>
          <w:bCs/>
          <w:color w:val="000000"/>
          <w:sz w:val="32"/>
          <w:szCs w:val="30"/>
        </w:rPr>
        <w:t>整体</w:t>
      </w:r>
      <w:r>
        <w:rPr>
          <w:rFonts w:hint="eastAsia" w:ascii="仿宋_GB2312" w:eastAsia="仿宋_GB2312"/>
          <w:b/>
          <w:color w:val="000000"/>
          <w:sz w:val="32"/>
          <w:szCs w:val="30"/>
        </w:rPr>
        <w:t>绩效目标设置情况</w:t>
      </w:r>
    </w:p>
    <w:p>
      <w:pPr>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2021年部门整体绩效目标</w:t>
      </w:r>
      <w:r>
        <w:rPr>
          <w:rFonts w:hint="eastAsia" w:ascii="仿宋_GB2312" w:eastAsia="仿宋_GB2312"/>
          <w:color w:val="000000"/>
          <w:sz w:val="32"/>
          <w:szCs w:val="30"/>
          <w:lang w:eastAsia="zh-CN"/>
        </w:rPr>
        <w:t>无</w:t>
      </w:r>
      <w:r>
        <w:rPr>
          <w:rFonts w:hint="eastAsia" w:ascii="仿宋_GB2312" w:eastAsia="仿宋_GB2312"/>
          <w:color w:val="000000"/>
          <w:sz w:val="32"/>
          <w:szCs w:val="30"/>
        </w:rPr>
        <w:t>。</w:t>
      </w:r>
    </w:p>
    <w:p>
      <w:pPr>
        <w:widowControl/>
        <w:spacing w:line="600" w:lineRule="exact"/>
        <w:ind w:firstLine="643" w:firstLineChars="200"/>
        <w:jc w:val="left"/>
        <w:rPr>
          <w:rFonts w:ascii="仿宋_GB2312" w:eastAsia="仿宋_GB2312"/>
          <w:b/>
          <w:color w:val="000000"/>
          <w:sz w:val="32"/>
          <w:szCs w:val="30"/>
        </w:rPr>
      </w:pPr>
      <w:r>
        <w:rPr>
          <w:rFonts w:hint="eastAsia" w:ascii="仿宋_GB2312" w:hAnsi="宋体" w:eastAsia="仿宋_GB2312" w:cs="仿宋_GB2312"/>
          <w:b/>
          <w:bCs/>
          <w:sz w:val="32"/>
          <w:szCs w:val="32"/>
        </w:rPr>
        <w:t>（八）</w:t>
      </w:r>
      <w:r>
        <w:rPr>
          <w:rFonts w:hint="eastAsia" w:ascii="仿宋_GB2312" w:eastAsia="仿宋_GB2312"/>
          <w:b/>
          <w:color w:val="000000"/>
          <w:sz w:val="32"/>
          <w:szCs w:val="30"/>
        </w:rPr>
        <w:t>项目绩效目标设置情况</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2021年实行绩效目标管理二级项目</w:t>
      </w:r>
      <w:r>
        <w:rPr>
          <w:rFonts w:hint="eastAsia" w:ascii="仿宋_GB2312" w:eastAsia="仿宋_GB2312"/>
          <w:color w:val="000000"/>
          <w:sz w:val="32"/>
          <w:szCs w:val="30"/>
          <w:lang w:val="en-US" w:eastAsia="zh-CN"/>
        </w:rPr>
        <w:t>2</w:t>
      </w:r>
      <w:r>
        <w:rPr>
          <w:rFonts w:hint="eastAsia" w:ascii="仿宋_GB2312" w:eastAsia="仿宋_GB2312"/>
          <w:color w:val="000000"/>
          <w:sz w:val="32"/>
          <w:szCs w:val="30"/>
        </w:rPr>
        <w:t>个（部门预算中</w:t>
      </w:r>
      <w:r>
        <w:rPr>
          <w:rFonts w:hint="eastAsia" w:ascii="仿宋_GB2312" w:eastAsia="仿宋_GB2312"/>
          <w:color w:val="000000"/>
          <w:sz w:val="32"/>
          <w:szCs w:val="30"/>
          <w:lang w:val="en-US" w:eastAsia="zh-CN"/>
        </w:rPr>
        <w:t>3</w:t>
      </w:r>
      <w:r>
        <w:rPr>
          <w:rFonts w:hint="eastAsia" w:ascii="仿宋_GB2312" w:eastAsia="仿宋_GB2312"/>
          <w:color w:val="000000"/>
          <w:sz w:val="32"/>
          <w:szCs w:val="30"/>
        </w:rPr>
        <w:t xml:space="preserve"> 万元以上的，且进行了绩效评审的项目 </w:t>
      </w:r>
      <w:r>
        <w:rPr>
          <w:rFonts w:hint="eastAsia" w:ascii="仿宋_GB2312" w:eastAsia="仿宋_GB2312"/>
          <w:color w:val="000000"/>
          <w:sz w:val="32"/>
          <w:szCs w:val="30"/>
          <w:lang w:val="en-US" w:eastAsia="zh-CN"/>
        </w:rPr>
        <w:t>2</w:t>
      </w:r>
      <w:r>
        <w:rPr>
          <w:rFonts w:hint="eastAsia" w:ascii="仿宋_GB2312" w:eastAsia="仿宋_GB2312"/>
          <w:color w:val="000000"/>
          <w:sz w:val="32"/>
          <w:szCs w:val="30"/>
        </w:rPr>
        <w:t>个，涉及资金</w:t>
      </w:r>
      <w:r>
        <w:rPr>
          <w:rFonts w:hint="eastAsia" w:ascii="仿宋_GB2312" w:eastAsia="仿宋_GB2312"/>
          <w:color w:val="000000"/>
          <w:sz w:val="32"/>
          <w:szCs w:val="30"/>
          <w:lang w:val="en-US" w:eastAsia="zh-CN"/>
        </w:rPr>
        <w:t>18.6</w:t>
      </w:r>
      <w:r>
        <w:rPr>
          <w:rFonts w:hint="eastAsia" w:ascii="仿宋_GB2312" w:eastAsia="仿宋_GB2312"/>
          <w:color w:val="000000"/>
          <w:sz w:val="32"/>
          <w:szCs w:val="30"/>
        </w:rPr>
        <w:t xml:space="preserve">万元），涉及资金 </w:t>
      </w:r>
      <w:r>
        <w:rPr>
          <w:rFonts w:hint="eastAsia" w:ascii="仿宋_GB2312" w:eastAsia="仿宋_GB2312"/>
          <w:color w:val="000000"/>
          <w:sz w:val="32"/>
          <w:szCs w:val="30"/>
          <w:lang w:val="en-US" w:eastAsia="zh-CN"/>
        </w:rPr>
        <w:t>18.6</w:t>
      </w:r>
      <w:r>
        <w:rPr>
          <w:rFonts w:hint="eastAsia" w:ascii="仿宋_GB2312" w:eastAsia="仿宋_GB2312"/>
          <w:color w:val="000000"/>
          <w:sz w:val="32"/>
          <w:szCs w:val="30"/>
        </w:rPr>
        <w:t>万元。</w:t>
      </w:r>
    </w:p>
    <w:p>
      <w:pPr>
        <w:widowControl/>
        <w:spacing w:line="600" w:lineRule="exact"/>
        <w:ind w:firstLine="643" w:firstLineChars="200"/>
        <w:jc w:val="left"/>
        <w:rPr>
          <w:rFonts w:hint="eastAsia" w:ascii="仿宋_GB2312" w:eastAsia="仿宋_GB2312"/>
          <w:b w:val="0"/>
          <w:bCs/>
          <w:color w:val="000000"/>
          <w:sz w:val="32"/>
          <w:szCs w:val="30"/>
          <w:lang w:eastAsia="zh-CN"/>
        </w:rPr>
      </w:pPr>
      <w:r>
        <w:rPr>
          <w:rFonts w:hint="eastAsia" w:ascii="仿宋_GB2312" w:eastAsia="仿宋_GB2312"/>
          <w:b/>
          <w:color w:val="000000"/>
          <w:sz w:val="32"/>
          <w:szCs w:val="30"/>
        </w:rPr>
        <w:t>（九）项目情况说明</w:t>
      </w:r>
      <w:r>
        <w:rPr>
          <w:rFonts w:hint="eastAsia" w:ascii="仿宋_GB2312" w:eastAsia="仿宋_GB2312"/>
          <w:b/>
          <w:color w:val="000000"/>
          <w:sz w:val="32"/>
          <w:szCs w:val="30"/>
          <w:lang w:eastAsia="zh-CN"/>
        </w:rPr>
        <w:t>：</w:t>
      </w:r>
    </w:p>
    <w:p>
      <w:pPr>
        <w:widowControl/>
        <w:numPr>
          <w:ilvl w:val="0"/>
          <w:numId w:val="0"/>
        </w:numPr>
        <w:spacing w:line="600" w:lineRule="exact"/>
        <w:ind w:left="640" w:leftChars="0" w:firstLine="320" w:firstLineChars="100"/>
        <w:jc w:val="left"/>
        <w:rPr>
          <w:rFonts w:hint="eastAsia" w:ascii="仿宋_GB2312" w:eastAsia="仿宋_GB2312"/>
          <w:color w:val="000000"/>
          <w:sz w:val="32"/>
          <w:szCs w:val="30"/>
          <w:lang w:eastAsia="zh-CN"/>
        </w:rPr>
      </w:pPr>
      <w:r>
        <w:rPr>
          <w:rFonts w:hint="eastAsia" w:ascii="仿宋_GB2312" w:eastAsia="仿宋_GB2312"/>
          <w:color w:val="000000"/>
          <w:sz w:val="32"/>
          <w:szCs w:val="30"/>
          <w:lang w:val="en-US" w:eastAsia="zh-CN"/>
        </w:rPr>
        <w:t>1、</w:t>
      </w:r>
      <w:r>
        <w:rPr>
          <w:rFonts w:hint="eastAsia" w:ascii="仿宋_GB2312" w:eastAsia="仿宋_GB2312"/>
          <w:color w:val="000000"/>
          <w:sz w:val="32"/>
          <w:szCs w:val="30"/>
        </w:rPr>
        <w:t>二级项目</w:t>
      </w:r>
      <w:r>
        <w:rPr>
          <w:rFonts w:hint="eastAsia" w:ascii="仿宋_GB2312" w:eastAsia="仿宋_GB2312"/>
          <w:color w:val="000000"/>
          <w:sz w:val="32"/>
          <w:szCs w:val="30"/>
          <w:lang w:eastAsia="zh-CN"/>
        </w:rPr>
        <w:t>：</w:t>
      </w:r>
      <w:r>
        <w:rPr>
          <w:rFonts w:hint="eastAsia" w:ascii="仿宋_GB2312" w:eastAsia="仿宋_GB2312"/>
          <w:color w:val="000000"/>
          <w:sz w:val="32"/>
          <w:szCs w:val="30"/>
          <w:highlight w:val="none"/>
          <w:lang w:val="en-US" w:eastAsia="zh-CN"/>
        </w:rPr>
        <w:t>省历年来固定补助</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 xml:space="preserve">  </w:t>
      </w:r>
    </w:p>
    <w:tbl>
      <w:tblPr>
        <w:tblStyle w:val="6"/>
        <w:tblW w:w="8640" w:type="dxa"/>
        <w:tblInd w:w="93" w:type="dxa"/>
        <w:shd w:val="clear" w:color="auto" w:fill="auto"/>
        <w:tblLayout w:type="autofit"/>
        <w:tblCellMar>
          <w:top w:w="0" w:type="dxa"/>
          <w:left w:w="108" w:type="dxa"/>
          <w:bottom w:w="0" w:type="dxa"/>
          <w:right w:w="108" w:type="dxa"/>
        </w:tblCellMar>
      </w:tblPr>
      <w:tblGrid>
        <w:gridCol w:w="1096"/>
        <w:gridCol w:w="1096"/>
        <w:gridCol w:w="960"/>
        <w:gridCol w:w="960"/>
        <w:gridCol w:w="960"/>
        <w:gridCol w:w="960"/>
        <w:gridCol w:w="960"/>
        <w:gridCol w:w="960"/>
        <w:gridCol w:w="960"/>
      </w:tblGrid>
      <w:tr>
        <w:tblPrEx>
          <w:shd w:val="clear" w:color="auto" w:fill="auto"/>
          <w:tblCellMar>
            <w:top w:w="0" w:type="dxa"/>
            <w:left w:w="108" w:type="dxa"/>
            <w:bottom w:w="0" w:type="dxa"/>
            <w:right w:w="108" w:type="dxa"/>
          </w:tblCellMar>
        </w:tblPrEx>
        <w:trPr>
          <w:trHeight w:val="660" w:hRule="atLeast"/>
        </w:trPr>
        <w:tc>
          <w:tcPr>
            <w:tcW w:w="960"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部门公开表10</w:t>
            </w: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60" w:hRule="atLeast"/>
        </w:trPr>
        <w:tc>
          <w:tcPr>
            <w:tcW w:w="86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景德镇市水稻畜禽良种示范繁殖场二级项目绩效目标表</w:t>
            </w:r>
          </w:p>
        </w:tc>
      </w:tr>
      <w:tr>
        <w:tblPrEx>
          <w:tblCellMar>
            <w:top w:w="0" w:type="dxa"/>
            <w:left w:w="108" w:type="dxa"/>
            <w:bottom w:w="0" w:type="dxa"/>
            <w:right w:w="108" w:type="dxa"/>
          </w:tblCellMar>
        </w:tblPrEx>
        <w:trPr>
          <w:trHeight w:val="660" w:hRule="atLeast"/>
        </w:trPr>
        <w:tc>
          <w:tcPr>
            <w:tcW w:w="960" w:type="dxa"/>
            <w:tcBorders>
              <w:top w:val="nil"/>
              <w:left w:val="nil"/>
              <w:bottom w:val="nil"/>
              <w:right w:val="nil"/>
            </w:tcBorders>
            <w:shd w:val="clear" w:color="auto" w:fill="auto"/>
            <w:vAlign w:val="top"/>
          </w:tcPr>
          <w:p>
            <w:pPr>
              <w:jc w:val="both"/>
              <w:rPr>
                <w:rFonts w:hint="eastAsia" w:ascii="Calibri" w:hAnsi="Calibri" w:cs="Calibri"/>
                <w:i w:val="0"/>
                <w:iCs w:val="0"/>
                <w:color w:val="000000"/>
                <w:sz w:val="21"/>
                <w:szCs w:val="21"/>
                <w:u w:val="none"/>
              </w:rPr>
            </w:pPr>
          </w:p>
        </w:tc>
        <w:tc>
          <w:tcPr>
            <w:tcW w:w="960" w:type="dxa"/>
            <w:tcBorders>
              <w:top w:val="nil"/>
              <w:left w:val="nil"/>
              <w:bottom w:val="nil"/>
              <w:right w:val="nil"/>
            </w:tcBorders>
            <w:shd w:val="clear" w:color="auto" w:fill="auto"/>
            <w:vAlign w:val="top"/>
          </w:tcPr>
          <w:p>
            <w:pPr>
              <w:jc w:val="both"/>
              <w:rPr>
                <w:rFonts w:hint="default" w:ascii="Calibri" w:hAnsi="Calibri" w:cs="Calibri"/>
                <w:i w:val="0"/>
                <w:iCs w:val="0"/>
                <w:color w:val="000000"/>
                <w:sz w:val="21"/>
                <w:szCs w:val="21"/>
                <w:u w:val="none"/>
              </w:rPr>
            </w:pPr>
          </w:p>
        </w:tc>
        <w:tc>
          <w:tcPr>
            <w:tcW w:w="1920" w:type="dxa"/>
            <w:gridSpan w:val="2"/>
            <w:tcBorders>
              <w:top w:val="nil"/>
              <w:left w:val="nil"/>
              <w:bottom w:val="single" w:color="000000" w:sz="4" w:space="0"/>
              <w:right w:val="nil"/>
            </w:tcBorders>
            <w:shd w:val="clear" w:color="auto" w:fill="auto"/>
            <w:vAlign w:val="top"/>
          </w:tcPr>
          <w:p>
            <w:pPr>
              <w:jc w:val="both"/>
              <w:rPr>
                <w:rFonts w:hint="default" w:ascii="Calibri" w:hAnsi="Calibri" w:cs="Calibri"/>
                <w:i w:val="0"/>
                <w:iCs w:val="0"/>
                <w:color w:val="000000"/>
                <w:sz w:val="21"/>
                <w:szCs w:val="21"/>
                <w:u w:val="none"/>
              </w:rPr>
            </w:pPr>
          </w:p>
        </w:tc>
        <w:tc>
          <w:tcPr>
            <w:tcW w:w="2880" w:type="dxa"/>
            <w:gridSpan w:val="3"/>
            <w:tcBorders>
              <w:top w:val="nil"/>
              <w:left w:val="nil"/>
              <w:bottom w:val="nil"/>
              <w:right w:val="nil"/>
            </w:tcBorders>
            <w:shd w:val="clear" w:color="auto" w:fill="auto"/>
            <w:vAlign w:val="top"/>
          </w:tcPr>
          <w:p>
            <w:pPr>
              <w:jc w:val="both"/>
              <w:rPr>
                <w:rFonts w:hint="default" w:ascii="Calibri" w:hAnsi="Calibri" w:cs="Calibri"/>
                <w:i w:val="0"/>
                <w:iCs w:val="0"/>
                <w:color w:val="000000"/>
                <w:sz w:val="21"/>
                <w:szCs w:val="21"/>
                <w:u w:val="none"/>
              </w:rPr>
            </w:pPr>
          </w:p>
        </w:tc>
        <w:tc>
          <w:tcPr>
            <w:tcW w:w="1920" w:type="dxa"/>
            <w:gridSpan w:val="2"/>
            <w:tcBorders>
              <w:top w:val="nil"/>
              <w:left w:val="nil"/>
              <w:bottom w:val="nil"/>
              <w:right w:val="nil"/>
            </w:tcBorders>
            <w:shd w:val="clear" w:color="auto" w:fill="auto"/>
            <w:vAlign w:val="top"/>
          </w:tcPr>
          <w:p>
            <w:pPr>
              <w:jc w:val="both"/>
              <w:rPr>
                <w:rFonts w:hint="default" w:ascii="Calibri" w:hAnsi="Calibri" w:cs="Calibri"/>
                <w:i w:val="0"/>
                <w:iCs w:val="0"/>
                <w:color w:val="000000"/>
                <w:sz w:val="21"/>
                <w:szCs w:val="21"/>
                <w:u w:val="none"/>
              </w:rPr>
            </w:pPr>
          </w:p>
        </w:tc>
      </w:tr>
      <w:tr>
        <w:tblPrEx>
          <w:tblCellMar>
            <w:top w:w="0" w:type="dxa"/>
            <w:left w:w="108" w:type="dxa"/>
            <w:bottom w:w="0" w:type="dxa"/>
            <w:right w:w="108" w:type="dxa"/>
          </w:tblCellMar>
        </w:tblPrEx>
        <w:trPr>
          <w:trHeight w:val="66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672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省历年来固定补助</w:t>
            </w:r>
          </w:p>
        </w:tc>
      </w:tr>
      <w:tr>
        <w:tblPrEx>
          <w:tblCellMar>
            <w:top w:w="0" w:type="dxa"/>
            <w:left w:w="108" w:type="dxa"/>
            <w:bottom w:w="0" w:type="dxa"/>
            <w:right w:w="108" w:type="dxa"/>
          </w:tblCellMar>
        </w:tblPrEx>
        <w:trPr>
          <w:trHeight w:val="660"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主管部门及代码</w:t>
            </w:r>
          </w:p>
        </w:tc>
        <w:tc>
          <w:tcPr>
            <w:tcW w:w="2880"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景德镇市农业农村局301001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实施单位</w:t>
            </w:r>
          </w:p>
        </w:tc>
        <w:tc>
          <w:tcPr>
            <w:tcW w:w="288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景德镇市水稻畜禽良种示范繁殖场</w:t>
            </w:r>
          </w:p>
        </w:tc>
      </w:tr>
      <w:tr>
        <w:tblPrEx>
          <w:tblCellMar>
            <w:top w:w="0" w:type="dxa"/>
            <w:left w:w="108" w:type="dxa"/>
            <w:bottom w:w="0" w:type="dxa"/>
            <w:right w:w="108" w:type="dxa"/>
          </w:tblCellMar>
        </w:tblPrEx>
        <w:trPr>
          <w:trHeight w:val="660" w:hRule="atLeast"/>
        </w:trPr>
        <w:tc>
          <w:tcPr>
            <w:tcW w:w="19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项目资金(万元)</w:t>
            </w:r>
          </w:p>
        </w:tc>
        <w:tc>
          <w:tcPr>
            <w:tcW w:w="192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年度资金总额      </w:t>
            </w:r>
          </w:p>
        </w:tc>
        <w:tc>
          <w:tcPr>
            <w:tcW w:w="48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r>
      <w:tr>
        <w:tblPrEx>
          <w:tblCellMar>
            <w:top w:w="0" w:type="dxa"/>
            <w:left w:w="108" w:type="dxa"/>
            <w:bottom w:w="0" w:type="dxa"/>
            <w:right w:w="108" w:type="dxa"/>
          </w:tblCellMar>
        </w:tblPrEx>
        <w:trPr>
          <w:trHeight w:val="660" w:hRule="atLeast"/>
        </w:trPr>
        <w:tc>
          <w:tcPr>
            <w:tcW w:w="19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92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其中:财政拨款</w:t>
            </w:r>
          </w:p>
        </w:tc>
        <w:tc>
          <w:tcPr>
            <w:tcW w:w="48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r>
      <w:tr>
        <w:tblPrEx>
          <w:tblCellMar>
            <w:top w:w="0" w:type="dxa"/>
            <w:left w:w="108" w:type="dxa"/>
            <w:bottom w:w="0" w:type="dxa"/>
            <w:right w:w="108" w:type="dxa"/>
          </w:tblCellMar>
        </w:tblPrEx>
        <w:trPr>
          <w:trHeight w:val="660" w:hRule="atLeast"/>
        </w:trPr>
        <w:tc>
          <w:tcPr>
            <w:tcW w:w="19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92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其他资金</w:t>
            </w:r>
          </w:p>
        </w:tc>
        <w:tc>
          <w:tcPr>
            <w:tcW w:w="48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660" w:hRule="atLeast"/>
        </w:trPr>
        <w:tc>
          <w:tcPr>
            <w:tcW w:w="86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年度绩效目标</w:t>
            </w:r>
          </w:p>
        </w:tc>
      </w:tr>
      <w:tr>
        <w:tblPrEx>
          <w:tblCellMar>
            <w:top w:w="0" w:type="dxa"/>
            <w:left w:w="108" w:type="dxa"/>
            <w:bottom w:w="0" w:type="dxa"/>
            <w:right w:w="108" w:type="dxa"/>
          </w:tblCellMar>
        </w:tblPrEx>
        <w:trPr>
          <w:trHeight w:val="1020" w:hRule="atLeast"/>
        </w:trPr>
        <w:tc>
          <w:tcPr>
            <w:tcW w:w="86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一、全面免除农工承担的“乡镇五项统筹”费，明显减轻农工负担。二、确保生产高质量发展、乡村环境美丽建设大幅改善、提高社会和谐满意度。三、乡村全面振兴。</w:t>
            </w:r>
          </w:p>
        </w:tc>
      </w:tr>
      <w:tr>
        <w:tblPrEx>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r>
      <w:tr>
        <w:tblPrEx>
          <w:tblCellMar>
            <w:top w:w="0" w:type="dxa"/>
            <w:left w:w="108" w:type="dxa"/>
            <w:bottom w:w="0" w:type="dxa"/>
            <w:right w:w="108" w:type="dxa"/>
          </w:tblCellMar>
        </w:tblPrEx>
        <w:trPr>
          <w:trHeight w:val="600" w:hRule="atLeast"/>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w:t>
            </w:r>
          </w:p>
        </w:tc>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转移支付村组</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补助完成率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效益指标</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经济效益指标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生产质量发展提升率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社会效益指标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社会主要矛盾解决率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生态效益指标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环境美化率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r>
      <w:tr>
        <w:tblPrEx>
          <w:tblCellMar>
            <w:top w:w="0" w:type="dxa"/>
            <w:left w:w="108" w:type="dxa"/>
            <w:bottom w:w="0" w:type="dxa"/>
            <w:right w:w="108" w:type="dxa"/>
          </w:tblCellMar>
        </w:tblPrEx>
        <w:trPr>
          <w:trHeight w:val="6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bl>
    <w:p>
      <w:pPr>
        <w:widowControl/>
        <w:numPr>
          <w:ilvl w:val="0"/>
          <w:numId w:val="0"/>
        </w:numPr>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lang w:val="en-US" w:eastAsia="zh-CN"/>
        </w:rPr>
        <w:t>2、</w:t>
      </w:r>
      <w:r>
        <w:rPr>
          <w:rFonts w:hint="eastAsia" w:ascii="仿宋_GB2312" w:eastAsia="仿宋_GB2312"/>
          <w:color w:val="000000"/>
          <w:sz w:val="32"/>
          <w:szCs w:val="30"/>
        </w:rPr>
        <w:t>二级项目</w:t>
      </w:r>
      <w:r>
        <w:rPr>
          <w:rFonts w:hint="eastAsia" w:ascii="仿宋_GB2312" w:eastAsia="仿宋_GB2312"/>
          <w:color w:val="000000"/>
          <w:sz w:val="32"/>
          <w:szCs w:val="30"/>
          <w:lang w:eastAsia="zh-CN"/>
        </w:rPr>
        <w:t>：</w:t>
      </w:r>
      <w:r>
        <w:rPr>
          <w:rFonts w:hint="eastAsia" w:ascii="仿宋_GB2312" w:eastAsia="仿宋_GB2312"/>
          <w:color w:val="000000"/>
          <w:sz w:val="32"/>
          <w:szCs w:val="30"/>
          <w:highlight w:val="none"/>
          <w:lang w:val="en-US" w:eastAsia="zh-CN"/>
        </w:rPr>
        <w:t>现代农业专项经费</w:t>
      </w:r>
    </w:p>
    <w:p>
      <w:pPr>
        <w:rPr>
          <w:rFonts w:hint="eastAsia" w:ascii="仿宋_GB2312" w:eastAsia="仿宋_GB2312"/>
          <w:color w:val="000000"/>
          <w:sz w:val="32"/>
          <w:szCs w:val="30"/>
        </w:rPr>
      </w:pPr>
      <w:r>
        <w:rPr>
          <w:rFonts w:hint="eastAsia" w:ascii="仿宋_GB2312" w:eastAsia="仿宋_GB2312"/>
          <w:color w:val="000000"/>
          <w:sz w:val="32"/>
          <w:szCs w:val="30"/>
        </w:rPr>
        <w:t xml:space="preserve">  </w:t>
      </w:r>
    </w:p>
    <w:tbl>
      <w:tblPr>
        <w:tblStyle w:val="6"/>
        <w:tblW w:w="8640" w:type="dxa"/>
        <w:tblInd w:w="93" w:type="dxa"/>
        <w:shd w:val="clear" w:color="auto" w:fill="auto"/>
        <w:tblLayout w:type="autofit"/>
        <w:tblCellMar>
          <w:top w:w="0" w:type="dxa"/>
          <w:left w:w="108" w:type="dxa"/>
          <w:bottom w:w="0" w:type="dxa"/>
          <w:right w:w="108" w:type="dxa"/>
        </w:tblCellMar>
      </w:tblPr>
      <w:tblGrid>
        <w:gridCol w:w="1096"/>
        <w:gridCol w:w="1096"/>
        <w:gridCol w:w="960"/>
        <w:gridCol w:w="960"/>
        <w:gridCol w:w="960"/>
        <w:gridCol w:w="960"/>
        <w:gridCol w:w="960"/>
        <w:gridCol w:w="960"/>
        <w:gridCol w:w="960"/>
      </w:tblGrid>
      <w:tr>
        <w:tblPrEx>
          <w:shd w:val="clear" w:color="auto" w:fill="auto"/>
          <w:tblCellMar>
            <w:top w:w="0" w:type="dxa"/>
            <w:left w:w="108" w:type="dxa"/>
            <w:bottom w:w="0" w:type="dxa"/>
            <w:right w:w="108" w:type="dxa"/>
          </w:tblCellMar>
        </w:tblPrEx>
        <w:trPr>
          <w:trHeight w:val="660" w:hRule="atLeast"/>
        </w:trPr>
        <w:tc>
          <w:tcPr>
            <w:tcW w:w="960"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部门公开表10</w:t>
            </w: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60" w:hRule="atLeast"/>
        </w:trPr>
        <w:tc>
          <w:tcPr>
            <w:tcW w:w="86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景德镇市水稻畜禽良种示范繁殖场二级项目绩效目标表</w:t>
            </w:r>
          </w:p>
        </w:tc>
      </w:tr>
      <w:tr>
        <w:tblPrEx>
          <w:tblCellMar>
            <w:top w:w="0" w:type="dxa"/>
            <w:left w:w="108" w:type="dxa"/>
            <w:bottom w:w="0" w:type="dxa"/>
            <w:right w:w="108" w:type="dxa"/>
          </w:tblCellMar>
        </w:tblPrEx>
        <w:trPr>
          <w:trHeight w:val="660" w:hRule="atLeast"/>
        </w:trPr>
        <w:tc>
          <w:tcPr>
            <w:tcW w:w="960" w:type="dxa"/>
            <w:tcBorders>
              <w:top w:val="nil"/>
              <w:left w:val="nil"/>
              <w:bottom w:val="nil"/>
              <w:right w:val="nil"/>
            </w:tcBorders>
            <w:shd w:val="clear" w:color="auto" w:fill="auto"/>
            <w:vAlign w:val="top"/>
          </w:tcPr>
          <w:p>
            <w:pPr>
              <w:jc w:val="both"/>
              <w:rPr>
                <w:rFonts w:hint="eastAsia" w:ascii="Calibri" w:hAnsi="Calibri" w:cs="Calibri"/>
                <w:i w:val="0"/>
                <w:iCs w:val="0"/>
                <w:color w:val="000000"/>
                <w:sz w:val="21"/>
                <w:szCs w:val="21"/>
                <w:u w:val="none"/>
              </w:rPr>
            </w:pPr>
          </w:p>
        </w:tc>
        <w:tc>
          <w:tcPr>
            <w:tcW w:w="960" w:type="dxa"/>
            <w:tcBorders>
              <w:top w:val="nil"/>
              <w:left w:val="nil"/>
              <w:bottom w:val="nil"/>
              <w:right w:val="nil"/>
            </w:tcBorders>
            <w:shd w:val="clear" w:color="auto" w:fill="auto"/>
            <w:vAlign w:val="top"/>
          </w:tcPr>
          <w:p>
            <w:pPr>
              <w:jc w:val="both"/>
              <w:rPr>
                <w:rFonts w:hint="default" w:ascii="Calibri" w:hAnsi="Calibri" w:cs="Calibri"/>
                <w:i w:val="0"/>
                <w:iCs w:val="0"/>
                <w:color w:val="000000"/>
                <w:sz w:val="21"/>
                <w:szCs w:val="21"/>
                <w:u w:val="none"/>
              </w:rPr>
            </w:pPr>
          </w:p>
        </w:tc>
        <w:tc>
          <w:tcPr>
            <w:tcW w:w="1920" w:type="dxa"/>
            <w:gridSpan w:val="2"/>
            <w:tcBorders>
              <w:top w:val="nil"/>
              <w:left w:val="nil"/>
              <w:bottom w:val="single" w:color="000000" w:sz="4" w:space="0"/>
              <w:right w:val="nil"/>
            </w:tcBorders>
            <w:shd w:val="clear" w:color="auto" w:fill="auto"/>
            <w:vAlign w:val="top"/>
          </w:tcPr>
          <w:p>
            <w:pPr>
              <w:jc w:val="both"/>
              <w:rPr>
                <w:rFonts w:hint="default" w:ascii="Calibri" w:hAnsi="Calibri" w:cs="Calibri"/>
                <w:i w:val="0"/>
                <w:iCs w:val="0"/>
                <w:color w:val="000000"/>
                <w:sz w:val="21"/>
                <w:szCs w:val="21"/>
                <w:u w:val="none"/>
              </w:rPr>
            </w:pPr>
          </w:p>
        </w:tc>
        <w:tc>
          <w:tcPr>
            <w:tcW w:w="2880" w:type="dxa"/>
            <w:gridSpan w:val="3"/>
            <w:tcBorders>
              <w:top w:val="nil"/>
              <w:left w:val="nil"/>
              <w:bottom w:val="nil"/>
              <w:right w:val="nil"/>
            </w:tcBorders>
            <w:shd w:val="clear" w:color="auto" w:fill="auto"/>
            <w:vAlign w:val="top"/>
          </w:tcPr>
          <w:p>
            <w:pPr>
              <w:jc w:val="both"/>
              <w:rPr>
                <w:rFonts w:hint="default" w:ascii="Calibri" w:hAnsi="Calibri" w:cs="Calibri"/>
                <w:i w:val="0"/>
                <w:iCs w:val="0"/>
                <w:color w:val="000000"/>
                <w:sz w:val="21"/>
                <w:szCs w:val="21"/>
                <w:u w:val="none"/>
              </w:rPr>
            </w:pPr>
          </w:p>
        </w:tc>
        <w:tc>
          <w:tcPr>
            <w:tcW w:w="1920" w:type="dxa"/>
            <w:gridSpan w:val="2"/>
            <w:tcBorders>
              <w:top w:val="nil"/>
              <w:left w:val="nil"/>
              <w:bottom w:val="nil"/>
              <w:right w:val="nil"/>
            </w:tcBorders>
            <w:shd w:val="clear" w:color="auto" w:fill="auto"/>
            <w:vAlign w:val="top"/>
          </w:tcPr>
          <w:p>
            <w:pPr>
              <w:jc w:val="both"/>
              <w:rPr>
                <w:rFonts w:hint="default" w:ascii="Calibri" w:hAnsi="Calibri" w:cs="Calibri"/>
                <w:i w:val="0"/>
                <w:iCs w:val="0"/>
                <w:color w:val="000000"/>
                <w:sz w:val="21"/>
                <w:szCs w:val="21"/>
                <w:u w:val="none"/>
              </w:rPr>
            </w:pPr>
          </w:p>
        </w:tc>
      </w:tr>
      <w:tr>
        <w:tblPrEx>
          <w:tblCellMar>
            <w:top w:w="0" w:type="dxa"/>
            <w:left w:w="108" w:type="dxa"/>
            <w:bottom w:w="0" w:type="dxa"/>
            <w:right w:w="108" w:type="dxa"/>
          </w:tblCellMar>
        </w:tblPrEx>
        <w:trPr>
          <w:trHeight w:val="66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672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现代农业专项经费</w:t>
            </w:r>
          </w:p>
        </w:tc>
      </w:tr>
      <w:tr>
        <w:tblPrEx>
          <w:tblCellMar>
            <w:top w:w="0" w:type="dxa"/>
            <w:left w:w="108" w:type="dxa"/>
            <w:bottom w:w="0" w:type="dxa"/>
            <w:right w:w="108" w:type="dxa"/>
          </w:tblCellMar>
        </w:tblPrEx>
        <w:trPr>
          <w:trHeight w:val="660"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主管部门及代码</w:t>
            </w:r>
          </w:p>
        </w:tc>
        <w:tc>
          <w:tcPr>
            <w:tcW w:w="2880"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景德镇市农业农村局301001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实施单位</w:t>
            </w:r>
          </w:p>
        </w:tc>
        <w:tc>
          <w:tcPr>
            <w:tcW w:w="288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景德镇市水稻畜禽良种示范繁殖场</w:t>
            </w:r>
          </w:p>
        </w:tc>
      </w:tr>
      <w:tr>
        <w:tblPrEx>
          <w:tblCellMar>
            <w:top w:w="0" w:type="dxa"/>
            <w:left w:w="108" w:type="dxa"/>
            <w:bottom w:w="0" w:type="dxa"/>
            <w:right w:w="108" w:type="dxa"/>
          </w:tblCellMar>
        </w:tblPrEx>
        <w:trPr>
          <w:trHeight w:val="660" w:hRule="atLeast"/>
        </w:trPr>
        <w:tc>
          <w:tcPr>
            <w:tcW w:w="19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项目资金(万元)</w:t>
            </w:r>
          </w:p>
        </w:tc>
        <w:tc>
          <w:tcPr>
            <w:tcW w:w="192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年度资金总额      </w:t>
            </w:r>
          </w:p>
        </w:tc>
        <w:tc>
          <w:tcPr>
            <w:tcW w:w="48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r>
      <w:tr>
        <w:tblPrEx>
          <w:tblCellMar>
            <w:top w:w="0" w:type="dxa"/>
            <w:left w:w="108" w:type="dxa"/>
            <w:bottom w:w="0" w:type="dxa"/>
            <w:right w:w="108" w:type="dxa"/>
          </w:tblCellMar>
        </w:tblPrEx>
        <w:trPr>
          <w:trHeight w:val="660" w:hRule="atLeast"/>
        </w:trPr>
        <w:tc>
          <w:tcPr>
            <w:tcW w:w="19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92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其中:财政拨款</w:t>
            </w:r>
          </w:p>
        </w:tc>
        <w:tc>
          <w:tcPr>
            <w:tcW w:w="48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r>
      <w:tr>
        <w:tblPrEx>
          <w:tblCellMar>
            <w:top w:w="0" w:type="dxa"/>
            <w:left w:w="108" w:type="dxa"/>
            <w:bottom w:w="0" w:type="dxa"/>
            <w:right w:w="108" w:type="dxa"/>
          </w:tblCellMar>
        </w:tblPrEx>
        <w:trPr>
          <w:trHeight w:val="660" w:hRule="atLeast"/>
        </w:trPr>
        <w:tc>
          <w:tcPr>
            <w:tcW w:w="19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92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其他资金</w:t>
            </w:r>
          </w:p>
        </w:tc>
        <w:tc>
          <w:tcPr>
            <w:tcW w:w="48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660" w:hRule="atLeast"/>
        </w:trPr>
        <w:tc>
          <w:tcPr>
            <w:tcW w:w="86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年度绩效目标</w:t>
            </w:r>
          </w:p>
        </w:tc>
      </w:tr>
      <w:tr>
        <w:tblPrEx>
          <w:tblCellMar>
            <w:top w:w="0" w:type="dxa"/>
            <w:left w:w="108" w:type="dxa"/>
            <w:bottom w:w="0" w:type="dxa"/>
            <w:right w:w="108" w:type="dxa"/>
          </w:tblCellMar>
        </w:tblPrEx>
        <w:trPr>
          <w:trHeight w:val="1460" w:hRule="atLeast"/>
        </w:trPr>
        <w:tc>
          <w:tcPr>
            <w:tcW w:w="86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1、鉴定评价新选育水稻品种在我市的 丰产性、稳定性、适应性、抗性、米质以及其他特征特性表现，为省市种子站水稻品种审定评价提供科学依据；2、通过项目的实施，可精选出适宜景德镇地区种植的高产优质水稻新品种，可提高全市广大农民种植高产、优质水稻栽培新技术的水平。大面积推广的超级稻新品种亩增产45公斤，按年推广超级稻新品种2万亩计算，年总增粮90万公斤，新增效益234万元（按每斤稻谷1.3元计算）</w:t>
            </w:r>
          </w:p>
        </w:tc>
      </w:tr>
      <w:tr>
        <w:tblPrEx>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r>
      <w:tr>
        <w:tblPrEx>
          <w:tblCellMar>
            <w:top w:w="0" w:type="dxa"/>
            <w:left w:w="108" w:type="dxa"/>
            <w:bottom w:w="0" w:type="dxa"/>
            <w:right w:w="108" w:type="dxa"/>
          </w:tblCellMar>
        </w:tblPrEx>
        <w:trPr>
          <w:trHeight w:val="600" w:hRule="atLeast"/>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w:t>
            </w:r>
          </w:p>
        </w:tc>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项目推进计划完成率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节能量验收合格率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项目延误率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效益指标</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经济效益指标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试验前后节能费用控制比</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社会效益指标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试验前后节能费用控制比</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生态效益指标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试验节能标准达标率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项目可复制性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r>
      <w:tr>
        <w:tblPrEx>
          <w:tblCellMar>
            <w:top w:w="0" w:type="dxa"/>
            <w:left w:w="108" w:type="dxa"/>
            <w:bottom w:w="0" w:type="dxa"/>
            <w:right w:w="108" w:type="dxa"/>
          </w:tblCellMar>
        </w:tblPrEx>
        <w:trPr>
          <w:trHeight w:val="6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bl>
    <w:p>
      <w:pPr>
        <w:rPr>
          <w:rFonts w:hint="eastAsia" w:ascii="仿宋_GB2312" w:eastAsia="仿宋_GB2312"/>
          <w:color w:val="000000"/>
          <w:sz w:val="32"/>
          <w:szCs w:val="30"/>
        </w:rPr>
      </w:pPr>
      <w:r>
        <w:rPr>
          <w:rFonts w:hint="eastAsia" w:ascii="仿宋_GB2312" w:eastAsia="仿宋_GB2312"/>
          <w:color w:val="000000"/>
          <w:sz w:val="32"/>
          <w:szCs w:val="30"/>
        </w:rPr>
        <w:t xml:space="preserve">    </w:t>
      </w:r>
    </w:p>
    <w:p>
      <w:pPr>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2021年部门预算表</w:t>
      </w:r>
    </w:p>
    <w:p>
      <w:pPr>
        <w:rPr>
          <w:rFonts w:ascii="仿宋_GB2312" w:hAnsi="宋体" w:eastAsia="仿宋_GB2312" w:cs="仿宋_GB2312"/>
          <w:sz w:val="32"/>
          <w:szCs w:val="32"/>
        </w:rPr>
      </w:pPr>
      <w:r>
        <w:rPr>
          <w:rFonts w:hint="eastAsia" w:ascii="仿宋_GB2312" w:hAnsi="宋体" w:eastAsia="仿宋_GB2312" w:cs="仿宋_GB2312"/>
          <w:sz w:val="32"/>
          <w:szCs w:val="32"/>
        </w:rPr>
        <w:t>（详见附表）</w:t>
      </w:r>
    </w:p>
    <w:p>
      <w:pPr>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一、收入科目</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（一）财政拨款：指市级财政当年拨付的资金。</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（七）用事业基金弥补收支差额：填列事业单位用事业基金弥补2021年收支差额的数额。</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（八）上年结转和结余：填列2020年全部结转和结余的资金数，包括当年结转结余资金和历年滚存结转结余资金。</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二、支出科目</w:t>
      </w:r>
    </w:p>
    <w:p>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（一）社会保障和就业支出（类）行政事业单位养老（款）</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行政单位离退休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：反映行政单位（含参公）开支的离退休经费。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事业单位离退休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：反映事业单位开支的离退休费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机关事业单位基本养老保险缴费</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：反映机关事业单位实施养老保险制度由单位缴纳的基本养老保险费支出。</w:t>
      </w:r>
    </w:p>
    <w:p>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（二）卫生健康支出（类）卫生健康管理事务（款）</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 xml:space="preserve">     其他卫生健康管理事务（项）：反映其他用于卫生健康管理事务各方面的支出。</w:t>
      </w:r>
    </w:p>
    <w:p>
      <w:pPr>
        <w:pageBreakBefore w:val="0"/>
        <w:widowControl w:val="0"/>
        <w:numPr>
          <w:ilvl w:val="0"/>
          <w:numId w:val="3"/>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卫生健康支出（类）行政事业单位医疗（款）</w:t>
      </w:r>
    </w:p>
    <w:p>
      <w:pPr>
        <w:pageBreakBefore w:val="0"/>
        <w:widowControl w:val="0"/>
        <w:numPr>
          <w:ilvl w:val="0"/>
          <w:numId w:val="0"/>
        </w:numPr>
        <w:kinsoku/>
        <w:wordWrap/>
        <w:overflowPunct/>
        <w:topLinePunct w:val="0"/>
        <w:autoSpaceDE/>
        <w:autoSpaceDN/>
        <w:bidi w:val="0"/>
        <w:adjustRightInd/>
        <w:spacing w:line="560" w:lineRule="exact"/>
        <w:ind w:firstLine="960" w:firstLineChars="3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行政单位医疗</w:t>
      </w:r>
      <w:r>
        <w:rPr>
          <w:rFonts w:hint="eastAsia" w:ascii="仿宋_GB2312" w:hAnsi="宋体" w:eastAsia="仿宋_GB2312" w:cs="仿宋_GB2312"/>
          <w:sz w:val="32"/>
          <w:szCs w:val="32"/>
          <w:lang w:val="en-US" w:eastAsia="zh-CN"/>
        </w:rPr>
        <w:t>（项）：反映财政部门安排的行政单位（含参公）基本医疗保险缴费经费，未参加医疗保险的行政单位的公费医疗经费，按国家规定享受离休人员、红军战士待遇人员的医疗经费。</w:t>
      </w:r>
    </w:p>
    <w:p>
      <w:pPr>
        <w:pageBreakBefore w:val="0"/>
        <w:widowControl w:val="0"/>
        <w:numPr>
          <w:ilvl w:val="0"/>
          <w:numId w:val="0"/>
        </w:numPr>
        <w:kinsoku/>
        <w:wordWrap/>
        <w:overflowPunct/>
        <w:topLinePunct w:val="0"/>
        <w:autoSpaceDE/>
        <w:autoSpaceDN/>
        <w:bidi w:val="0"/>
        <w:adjustRightInd/>
        <w:spacing w:line="560" w:lineRule="exact"/>
        <w:ind w:firstLine="960" w:firstLineChars="3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事业单位医疗</w:t>
      </w:r>
      <w:r>
        <w:rPr>
          <w:rFonts w:hint="eastAsia" w:ascii="仿宋_GB2312" w:hAnsi="宋体" w:eastAsia="仿宋_GB2312" w:cs="仿宋_GB2312"/>
          <w:sz w:val="32"/>
          <w:szCs w:val="32"/>
          <w:lang w:val="en-US" w:eastAsia="zh-CN"/>
        </w:rPr>
        <w:t>（项）：反映财政部门安排的事业单位基本医疗保险缴费经费，未参加医疗保险的事业单位的公费医疗经费，按照国家规定享受离休人员待遇的医疗经费。</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公务员医疗补助</w:t>
      </w:r>
      <w:r>
        <w:rPr>
          <w:rFonts w:hint="eastAsia" w:ascii="仿宋_GB2312" w:hAnsi="宋体" w:eastAsia="仿宋_GB2312" w:cs="仿宋_GB2312"/>
          <w:sz w:val="32"/>
          <w:szCs w:val="32"/>
          <w:lang w:val="en-US" w:eastAsia="zh-CN"/>
        </w:rPr>
        <w:t>（项）：反映财政部门安排的公务员医疗补助经费。</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其他行政事业单位医疗</w:t>
      </w:r>
      <w:r>
        <w:rPr>
          <w:rFonts w:hint="eastAsia" w:ascii="仿宋_GB2312" w:hAnsi="宋体" w:eastAsia="仿宋_GB2312" w:cs="仿宋_GB2312"/>
          <w:sz w:val="32"/>
          <w:szCs w:val="32"/>
          <w:lang w:val="en-US" w:eastAsia="zh-CN"/>
        </w:rPr>
        <w:t>（项）：反映除上述项目以外的其他用于行政事业单位医疗方面的支出。</w:t>
      </w:r>
    </w:p>
    <w:p>
      <w:pPr>
        <w:pageBreakBefore w:val="0"/>
        <w:widowControl w:val="0"/>
        <w:numPr>
          <w:ilvl w:val="0"/>
          <w:numId w:val="3"/>
        </w:numPr>
        <w:kinsoku/>
        <w:wordWrap/>
        <w:overflowPunct/>
        <w:topLinePunct w:val="0"/>
        <w:autoSpaceDE/>
        <w:autoSpaceDN/>
        <w:bidi w:val="0"/>
        <w:adjustRightInd/>
        <w:spacing w:line="560" w:lineRule="exact"/>
        <w:ind w:left="0" w:leftChars="0" w:firstLine="640" w:firstLineChars="200"/>
        <w:jc w:val="both"/>
        <w:textAlignment w:val="auto"/>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农林水支出（类）农业农村（款）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事业运行</w:t>
      </w:r>
      <w:r>
        <w:rPr>
          <w:rFonts w:hint="eastAsia" w:ascii="仿宋_GB2312" w:hAnsi="宋体" w:eastAsia="仿宋_GB2312" w:cs="仿宋_GB2312"/>
          <w:sz w:val="32"/>
          <w:szCs w:val="32"/>
          <w:lang w:val="en-US" w:eastAsia="zh-CN"/>
        </w:rPr>
        <w:t>（项）：反映用于农业事业单位基本支出，事业单位设施、系统运行与资产维护等方面的支出。</w:t>
      </w:r>
    </w:p>
    <w:p>
      <w:pPr>
        <w:pageBreakBefore w:val="0"/>
        <w:widowControl w:val="0"/>
        <w:numPr>
          <w:ilvl w:val="0"/>
          <w:numId w:val="3"/>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住房保障支出（类）住房改革支出（款）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住房公积金</w:t>
      </w:r>
      <w:r>
        <w:rPr>
          <w:rFonts w:hint="eastAsia" w:ascii="仿宋_GB2312" w:hAnsi="宋体" w:eastAsia="仿宋_GB2312" w:cs="仿宋_GB2312"/>
          <w:sz w:val="32"/>
          <w:szCs w:val="32"/>
          <w:lang w:val="en-US" w:eastAsia="zh-CN"/>
        </w:rPr>
        <w:t>（项）：反映行政事业单位按人力资源和社会保障部、财政部规定的基本工资和津补贴以及规定比例为职工缴纳的住房公积金。</w:t>
      </w:r>
    </w:p>
    <w:p>
      <w:pPr>
        <w:rPr>
          <w:rFonts w:ascii="仿宋_GB2312" w:eastAsia="仿宋_GB2312" w:cs="Times New Roman"/>
          <w:sz w:val="32"/>
          <w:szCs w:val="32"/>
        </w:rPr>
      </w:pPr>
    </w:p>
    <w:p>
      <w:pPr>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8</w:t>
    </w:r>
    <w:r>
      <w:rPr>
        <w:rStyle w:val="8"/>
      </w:rPr>
      <w:fldChar w:fldCharType="end"/>
    </w:r>
  </w:p>
  <w:p>
    <w:pPr>
      <w:pStyle w:val="5"/>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D9D642"/>
    <w:multiLevelType w:val="singleLevel"/>
    <w:tmpl w:val="F5D9D642"/>
    <w:lvl w:ilvl="0" w:tentative="0">
      <w:start w:val="3"/>
      <w:numFmt w:val="chineseCounting"/>
      <w:suff w:val="nothing"/>
      <w:lvlText w:val="（%1）"/>
      <w:lvlJc w:val="left"/>
      <w:rPr>
        <w:rFonts w:hint="eastAsia"/>
      </w:rPr>
    </w:lvl>
  </w:abstractNum>
  <w:abstractNum w:abstractNumId="1">
    <w:nsid w:val="59A778CA"/>
    <w:multiLevelType w:val="singleLevel"/>
    <w:tmpl w:val="59A778CA"/>
    <w:lvl w:ilvl="0" w:tentative="0">
      <w:start w:val="4"/>
      <w:numFmt w:val="chineseCounting"/>
      <w:suff w:val="nothing"/>
      <w:lvlText w:val="（%1）"/>
      <w:lvlJc w:val="left"/>
    </w:lvl>
  </w:abstractNum>
  <w:abstractNum w:abstractNumId="2">
    <w:nsid w:val="7366EB4D"/>
    <w:multiLevelType w:val="singleLevel"/>
    <w:tmpl w:val="7366EB4D"/>
    <w:lvl w:ilvl="0" w:tentative="0">
      <w:start w:val="3"/>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19745D"/>
    <w:rsid w:val="002865B4"/>
    <w:rsid w:val="003E2BD5"/>
    <w:rsid w:val="00675E17"/>
    <w:rsid w:val="00683AC4"/>
    <w:rsid w:val="008110CC"/>
    <w:rsid w:val="008576F0"/>
    <w:rsid w:val="00B358C5"/>
    <w:rsid w:val="00C04C9A"/>
    <w:rsid w:val="00CB427A"/>
    <w:rsid w:val="00F500B9"/>
    <w:rsid w:val="016C67F3"/>
    <w:rsid w:val="01992CBB"/>
    <w:rsid w:val="01EA2720"/>
    <w:rsid w:val="02064BBC"/>
    <w:rsid w:val="02134AFD"/>
    <w:rsid w:val="022502CD"/>
    <w:rsid w:val="02317160"/>
    <w:rsid w:val="027743F7"/>
    <w:rsid w:val="031B6E8A"/>
    <w:rsid w:val="032C03EB"/>
    <w:rsid w:val="038235A5"/>
    <w:rsid w:val="038A1C17"/>
    <w:rsid w:val="03956AEA"/>
    <w:rsid w:val="03C46409"/>
    <w:rsid w:val="03E01135"/>
    <w:rsid w:val="04256AF8"/>
    <w:rsid w:val="04781255"/>
    <w:rsid w:val="048B0EC6"/>
    <w:rsid w:val="050930BE"/>
    <w:rsid w:val="055D08CA"/>
    <w:rsid w:val="056F62AD"/>
    <w:rsid w:val="05BC0F9E"/>
    <w:rsid w:val="05D5031B"/>
    <w:rsid w:val="05EB1609"/>
    <w:rsid w:val="060C11F6"/>
    <w:rsid w:val="061D2BD0"/>
    <w:rsid w:val="06F900FE"/>
    <w:rsid w:val="0728739F"/>
    <w:rsid w:val="072F3B1B"/>
    <w:rsid w:val="077046AF"/>
    <w:rsid w:val="078163B8"/>
    <w:rsid w:val="0796658A"/>
    <w:rsid w:val="080D074F"/>
    <w:rsid w:val="0833403F"/>
    <w:rsid w:val="08686850"/>
    <w:rsid w:val="08887A85"/>
    <w:rsid w:val="08EE0B31"/>
    <w:rsid w:val="09541ED2"/>
    <w:rsid w:val="0A271BDF"/>
    <w:rsid w:val="0A326819"/>
    <w:rsid w:val="0A537EF6"/>
    <w:rsid w:val="0AD93D0E"/>
    <w:rsid w:val="0AF07A0C"/>
    <w:rsid w:val="0B0656F8"/>
    <w:rsid w:val="0B8060BC"/>
    <w:rsid w:val="0B8D3EE8"/>
    <w:rsid w:val="0B8F4B71"/>
    <w:rsid w:val="0BCB55CB"/>
    <w:rsid w:val="0C3660E1"/>
    <w:rsid w:val="0CAC0240"/>
    <w:rsid w:val="0CBF216E"/>
    <w:rsid w:val="0D476B84"/>
    <w:rsid w:val="0D4C766D"/>
    <w:rsid w:val="0D575FA0"/>
    <w:rsid w:val="0D9E0ADE"/>
    <w:rsid w:val="0DD9731D"/>
    <w:rsid w:val="0E532125"/>
    <w:rsid w:val="0EA01ACD"/>
    <w:rsid w:val="0EA6690D"/>
    <w:rsid w:val="0F7E0D69"/>
    <w:rsid w:val="0F842447"/>
    <w:rsid w:val="0FCB58D0"/>
    <w:rsid w:val="10755C11"/>
    <w:rsid w:val="11044A50"/>
    <w:rsid w:val="11427CB1"/>
    <w:rsid w:val="1160391C"/>
    <w:rsid w:val="118072E3"/>
    <w:rsid w:val="11F50DF7"/>
    <w:rsid w:val="13023F89"/>
    <w:rsid w:val="13504B1F"/>
    <w:rsid w:val="137661AC"/>
    <w:rsid w:val="139E3D52"/>
    <w:rsid w:val="143B2A56"/>
    <w:rsid w:val="14CB4F48"/>
    <w:rsid w:val="15B3281E"/>
    <w:rsid w:val="15DD675D"/>
    <w:rsid w:val="15E42F19"/>
    <w:rsid w:val="162B4B72"/>
    <w:rsid w:val="16774F88"/>
    <w:rsid w:val="169F4F37"/>
    <w:rsid w:val="17470FCF"/>
    <w:rsid w:val="17802EE9"/>
    <w:rsid w:val="17AF16CF"/>
    <w:rsid w:val="17BA0946"/>
    <w:rsid w:val="17C82895"/>
    <w:rsid w:val="184C5203"/>
    <w:rsid w:val="18AC060B"/>
    <w:rsid w:val="18C52802"/>
    <w:rsid w:val="18D609BC"/>
    <w:rsid w:val="18F8485D"/>
    <w:rsid w:val="19076E1D"/>
    <w:rsid w:val="19774884"/>
    <w:rsid w:val="199B1F30"/>
    <w:rsid w:val="1A1E1CF2"/>
    <w:rsid w:val="1A8453E8"/>
    <w:rsid w:val="1A8E7D6A"/>
    <w:rsid w:val="1B630BBB"/>
    <w:rsid w:val="1B9A5EF7"/>
    <w:rsid w:val="1BB219B8"/>
    <w:rsid w:val="1BEB2991"/>
    <w:rsid w:val="1BF14F36"/>
    <w:rsid w:val="1BF8427D"/>
    <w:rsid w:val="1C243B2E"/>
    <w:rsid w:val="1C891554"/>
    <w:rsid w:val="1D302813"/>
    <w:rsid w:val="1D823FBA"/>
    <w:rsid w:val="1DB363F7"/>
    <w:rsid w:val="1DE82DB3"/>
    <w:rsid w:val="1DFD0664"/>
    <w:rsid w:val="1E190FD9"/>
    <w:rsid w:val="1E223BF0"/>
    <w:rsid w:val="1E236CE8"/>
    <w:rsid w:val="1E6D0513"/>
    <w:rsid w:val="1EBD751D"/>
    <w:rsid w:val="1EC2680B"/>
    <w:rsid w:val="1EEC17FD"/>
    <w:rsid w:val="1F117155"/>
    <w:rsid w:val="1F3173C4"/>
    <w:rsid w:val="1F520532"/>
    <w:rsid w:val="1FBE1502"/>
    <w:rsid w:val="1FEA1872"/>
    <w:rsid w:val="20336806"/>
    <w:rsid w:val="204B45CE"/>
    <w:rsid w:val="2142403F"/>
    <w:rsid w:val="21721F3C"/>
    <w:rsid w:val="218053C2"/>
    <w:rsid w:val="21B76395"/>
    <w:rsid w:val="21BA5AAD"/>
    <w:rsid w:val="22510534"/>
    <w:rsid w:val="225609A2"/>
    <w:rsid w:val="22B82BFC"/>
    <w:rsid w:val="233F7F0E"/>
    <w:rsid w:val="245D6773"/>
    <w:rsid w:val="247052AA"/>
    <w:rsid w:val="24E00489"/>
    <w:rsid w:val="250715FD"/>
    <w:rsid w:val="252C34D5"/>
    <w:rsid w:val="252E57A3"/>
    <w:rsid w:val="25381CD0"/>
    <w:rsid w:val="253C20A9"/>
    <w:rsid w:val="25705B71"/>
    <w:rsid w:val="258C6780"/>
    <w:rsid w:val="25F11C78"/>
    <w:rsid w:val="26064C01"/>
    <w:rsid w:val="26D4783E"/>
    <w:rsid w:val="274E6D2C"/>
    <w:rsid w:val="275018A2"/>
    <w:rsid w:val="275B65FB"/>
    <w:rsid w:val="275C5793"/>
    <w:rsid w:val="27667D96"/>
    <w:rsid w:val="27C66EFE"/>
    <w:rsid w:val="28D6093E"/>
    <w:rsid w:val="293250A8"/>
    <w:rsid w:val="293513F5"/>
    <w:rsid w:val="293B21F8"/>
    <w:rsid w:val="29434014"/>
    <w:rsid w:val="296653B8"/>
    <w:rsid w:val="297E6BA8"/>
    <w:rsid w:val="29C408DC"/>
    <w:rsid w:val="29EF1D2A"/>
    <w:rsid w:val="2A0F74E6"/>
    <w:rsid w:val="2A4D398B"/>
    <w:rsid w:val="2A766E98"/>
    <w:rsid w:val="2ABF4EE0"/>
    <w:rsid w:val="2B2616BF"/>
    <w:rsid w:val="2B3752F8"/>
    <w:rsid w:val="2C3177F8"/>
    <w:rsid w:val="2C360946"/>
    <w:rsid w:val="2CDD42A9"/>
    <w:rsid w:val="2D1D17F2"/>
    <w:rsid w:val="2D7062CA"/>
    <w:rsid w:val="2DBB1A4F"/>
    <w:rsid w:val="2DBB222D"/>
    <w:rsid w:val="2DD800F2"/>
    <w:rsid w:val="2E1E280F"/>
    <w:rsid w:val="2E4412FF"/>
    <w:rsid w:val="2F432FE2"/>
    <w:rsid w:val="2F4D04AC"/>
    <w:rsid w:val="2F7E7583"/>
    <w:rsid w:val="2FA1085D"/>
    <w:rsid w:val="2FB457AF"/>
    <w:rsid w:val="2FBB03F7"/>
    <w:rsid w:val="2FED3D3E"/>
    <w:rsid w:val="30047A2F"/>
    <w:rsid w:val="30434EC1"/>
    <w:rsid w:val="30B511A3"/>
    <w:rsid w:val="30C92EB4"/>
    <w:rsid w:val="317315E0"/>
    <w:rsid w:val="318B6EAB"/>
    <w:rsid w:val="31D40AAE"/>
    <w:rsid w:val="31E31726"/>
    <w:rsid w:val="320C2C53"/>
    <w:rsid w:val="32BB7626"/>
    <w:rsid w:val="33560943"/>
    <w:rsid w:val="339E38BD"/>
    <w:rsid w:val="33D97D72"/>
    <w:rsid w:val="33EC7AD1"/>
    <w:rsid w:val="33ED1CDB"/>
    <w:rsid w:val="33EE23E2"/>
    <w:rsid w:val="340C42A2"/>
    <w:rsid w:val="341D1ADE"/>
    <w:rsid w:val="347248C9"/>
    <w:rsid w:val="34D15BB5"/>
    <w:rsid w:val="34E71B12"/>
    <w:rsid w:val="34EB365B"/>
    <w:rsid w:val="356B322F"/>
    <w:rsid w:val="35B13DDA"/>
    <w:rsid w:val="36B7026D"/>
    <w:rsid w:val="36C36297"/>
    <w:rsid w:val="36FE5B64"/>
    <w:rsid w:val="3774349D"/>
    <w:rsid w:val="37790DF9"/>
    <w:rsid w:val="37BC79D4"/>
    <w:rsid w:val="37CB5FAD"/>
    <w:rsid w:val="37FF031C"/>
    <w:rsid w:val="381119B2"/>
    <w:rsid w:val="3836322E"/>
    <w:rsid w:val="388173C0"/>
    <w:rsid w:val="38D5753F"/>
    <w:rsid w:val="38E04FC4"/>
    <w:rsid w:val="399542A1"/>
    <w:rsid w:val="39FC405B"/>
    <w:rsid w:val="3A1A6D89"/>
    <w:rsid w:val="3ABD19CE"/>
    <w:rsid w:val="3B551DDD"/>
    <w:rsid w:val="3BD871B8"/>
    <w:rsid w:val="3BDD2645"/>
    <w:rsid w:val="3C815AB8"/>
    <w:rsid w:val="3CF55A87"/>
    <w:rsid w:val="3D3A38EE"/>
    <w:rsid w:val="3D477461"/>
    <w:rsid w:val="3D6B2AEE"/>
    <w:rsid w:val="3D951125"/>
    <w:rsid w:val="3DA94220"/>
    <w:rsid w:val="3DB26803"/>
    <w:rsid w:val="3DF91EB5"/>
    <w:rsid w:val="3EE41772"/>
    <w:rsid w:val="3EEB0DE2"/>
    <w:rsid w:val="3FC64316"/>
    <w:rsid w:val="40063FBF"/>
    <w:rsid w:val="404C2DFC"/>
    <w:rsid w:val="40A60D15"/>
    <w:rsid w:val="40B66911"/>
    <w:rsid w:val="41967FB4"/>
    <w:rsid w:val="41B93B2C"/>
    <w:rsid w:val="41CC4EE7"/>
    <w:rsid w:val="41F956CB"/>
    <w:rsid w:val="42345910"/>
    <w:rsid w:val="42497C45"/>
    <w:rsid w:val="425C5E12"/>
    <w:rsid w:val="429A727D"/>
    <w:rsid w:val="429E4067"/>
    <w:rsid w:val="42A43B04"/>
    <w:rsid w:val="43113E87"/>
    <w:rsid w:val="4312783B"/>
    <w:rsid w:val="4322216B"/>
    <w:rsid w:val="438354F4"/>
    <w:rsid w:val="43AE57EF"/>
    <w:rsid w:val="43FC4A38"/>
    <w:rsid w:val="44152A47"/>
    <w:rsid w:val="44F62C93"/>
    <w:rsid w:val="454515E4"/>
    <w:rsid w:val="45883462"/>
    <w:rsid w:val="45E34423"/>
    <w:rsid w:val="46494A88"/>
    <w:rsid w:val="46853F3D"/>
    <w:rsid w:val="472C27F5"/>
    <w:rsid w:val="478074B0"/>
    <w:rsid w:val="47B569C6"/>
    <w:rsid w:val="47E76516"/>
    <w:rsid w:val="48230E28"/>
    <w:rsid w:val="482F4CAD"/>
    <w:rsid w:val="48B4312F"/>
    <w:rsid w:val="4995109F"/>
    <w:rsid w:val="49B160DD"/>
    <w:rsid w:val="49D458D1"/>
    <w:rsid w:val="4A961FC1"/>
    <w:rsid w:val="4AA902E2"/>
    <w:rsid w:val="4B1C3CE3"/>
    <w:rsid w:val="4B1F62F4"/>
    <w:rsid w:val="4B6E6FF1"/>
    <w:rsid w:val="4BD21A29"/>
    <w:rsid w:val="4BD63489"/>
    <w:rsid w:val="4C025A05"/>
    <w:rsid w:val="4C0B38BC"/>
    <w:rsid w:val="4C0B7195"/>
    <w:rsid w:val="4C612323"/>
    <w:rsid w:val="4CF33B51"/>
    <w:rsid w:val="4D3B293C"/>
    <w:rsid w:val="4D423751"/>
    <w:rsid w:val="4D6D660D"/>
    <w:rsid w:val="4DE822C2"/>
    <w:rsid w:val="4E0518C4"/>
    <w:rsid w:val="4E837283"/>
    <w:rsid w:val="4F03119D"/>
    <w:rsid w:val="4FAE51CE"/>
    <w:rsid w:val="5003171A"/>
    <w:rsid w:val="503A0DE5"/>
    <w:rsid w:val="504E0EF0"/>
    <w:rsid w:val="505240F4"/>
    <w:rsid w:val="5059274C"/>
    <w:rsid w:val="50A9181D"/>
    <w:rsid w:val="51B40312"/>
    <w:rsid w:val="52282806"/>
    <w:rsid w:val="52B039E7"/>
    <w:rsid w:val="52D257D0"/>
    <w:rsid w:val="532A0251"/>
    <w:rsid w:val="53AD567D"/>
    <w:rsid w:val="542E7D2E"/>
    <w:rsid w:val="544F03A5"/>
    <w:rsid w:val="545236E0"/>
    <w:rsid w:val="55E2413E"/>
    <w:rsid w:val="55ED0CEC"/>
    <w:rsid w:val="561671EE"/>
    <w:rsid w:val="56FF5081"/>
    <w:rsid w:val="57605D80"/>
    <w:rsid w:val="57CC144D"/>
    <w:rsid w:val="583D32CE"/>
    <w:rsid w:val="586C14E4"/>
    <w:rsid w:val="588B3CC5"/>
    <w:rsid w:val="58D47971"/>
    <w:rsid w:val="59043A80"/>
    <w:rsid w:val="59B529DA"/>
    <w:rsid w:val="5A06401A"/>
    <w:rsid w:val="5A4D4A62"/>
    <w:rsid w:val="5A5530E0"/>
    <w:rsid w:val="5A6622F5"/>
    <w:rsid w:val="5AD9793C"/>
    <w:rsid w:val="5B171FC6"/>
    <w:rsid w:val="5B400111"/>
    <w:rsid w:val="5B433FA0"/>
    <w:rsid w:val="5B980D8B"/>
    <w:rsid w:val="5C031165"/>
    <w:rsid w:val="5C29740F"/>
    <w:rsid w:val="5C2B4808"/>
    <w:rsid w:val="5C3814AC"/>
    <w:rsid w:val="5C7E60A8"/>
    <w:rsid w:val="5C866D2F"/>
    <w:rsid w:val="5C9E0762"/>
    <w:rsid w:val="5CAA308D"/>
    <w:rsid w:val="5CB97036"/>
    <w:rsid w:val="5CC23F6A"/>
    <w:rsid w:val="5CD8710E"/>
    <w:rsid w:val="5DA4126C"/>
    <w:rsid w:val="5DA825D1"/>
    <w:rsid w:val="5DB62D09"/>
    <w:rsid w:val="5DEC21DC"/>
    <w:rsid w:val="5E5D3BFC"/>
    <w:rsid w:val="5EA05364"/>
    <w:rsid w:val="5F021029"/>
    <w:rsid w:val="5F1C0912"/>
    <w:rsid w:val="5FED1CFD"/>
    <w:rsid w:val="60EC45F9"/>
    <w:rsid w:val="60FC23CB"/>
    <w:rsid w:val="610B4BD2"/>
    <w:rsid w:val="613B0830"/>
    <w:rsid w:val="615256EB"/>
    <w:rsid w:val="615B6582"/>
    <w:rsid w:val="620C6E5C"/>
    <w:rsid w:val="62180EE4"/>
    <w:rsid w:val="621E7046"/>
    <w:rsid w:val="625926CA"/>
    <w:rsid w:val="627C0962"/>
    <w:rsid w:val="62AC6032"/>
    <w:rsid w:val="62B20F12"/>
    <w:rsid w:val="62CF0021"/>
    <w:rsid w:val="62E4604F"/>
    <w:rsid w:val="64185802"/>
    <w:rsid w:val="641E7445"/>
    <w:rsid w:val="64794E7A"/>
    <w:rsid w:val="649A22F9"/>
    <w:rsid w:val="64FF0CA8"/>
    <w:rsid w:val="65237C0A"/>
    <w:rsid w:val="653B30AC"/>
    <w:rsid w:val="65786D6D"/>
    <w:rsid w:val="65F97F37"/>
    <w:rsid w:val="6641641D"/>
    <w:rsid w:val="66423293"/>
    <w:rsid w:val="66821C4B"/>
    <w:rsid w:val="67223D87"/>
    <w:rsid w:val="674D708A"/>
    <w:rsid w:val="677F2875"/>
    <w:rsid w:val="678D2E45"/>
    <w:rsid w:val="67D132D3"/>
    <w:rsid w:val="67DB5F42"/>
    <w:rsid w:val="6819151F"/>
    <w:rsid w:val="68390D0C"/>
    <w:rsid w:val="68C67DDB"/>
    <w:rsid w:val="68DB0D8F"/>
    <w:rsid w:val="68F34791"/>
    <w:rsid w:val="694245AC"/>
    <w:rsid w:val="69C21A2B"/>
    <w:rsid w:val="6A5877AA"/>
    <w:rsid w:val="6B114B35"/>
    <w:rsid w:val="6B356F17"/>
    <w:rsid w:val="6B4F3212"/>
    <w:rsid w:val="6BB52C69"/>
    <w:rsid w:val="6C441AD9"/>
    <w:rsid w:val="6CC42F36"/>
    <w:rsid w:val="6D21437F"/>
    <w:rsid w:val="6D283978"/>
    <w:rsid w:val="6D3D3176"/>
    <w:rsid w:val="6DD77909"/>
    <w:rsid w:val="6E2B7292"/>
    <w:rsid w:val="6E8C1CFD"/>
    <w:rsid w:val="6EA661A7"/>
    <w:rsid w:val="6EEC4461"/>
    <w:rsid w:val="6F140541"/>
    <w:rsid w:val="6F71058E"/>
    <w:rsid w:val="6FAC2B1A"/>
    <w:rsid w:val="6FCB750B"/>
    <w:rsid w:val="70A027CE"/>
    <w:rsid w:val="70E307B9"/>
    <w:rsid w:val="713607DA"/>
    <w:rsid w:val="71452C49"/>
    <w:rsid w:val="716D31A1"/>
    <w:rsid w:val="719F2C06"/>
    <w:rsid w:val="71CA08AB"/>
    <w:rsid w:val="71CF63F7"/>
    <w:rsid w:val="72204854"/>
    <w:rsid w:val="726560BA"/>
    <w:rsid w:val="72BB74E2"/>
    <w:rsid w:val="72D71BC4"/>
    <w:rsid w:val="730316C7"/>
    <w:rsid w:val="73224148"/>
    <w:rsid w:val="73457E98"/>
    <w:rsid w:val="73761EC6"/>
    <w:rsid w:val="737F129C"/>
    <w:rsid w:val="738F7F0D"/>
    <w:rsid w:val="73990B59"/>
    <w:rsid w:val="73DB2B3E"/>
    <w:rsid w:val="743B18EC"/>
    <w:rsid w:val="747A3707"/>
    <w:rsid w:val="74F93EDE"/>
    <w:rsid w:val="75147426"/>
    <w:rsid w:val="75186015"/>
    <w:rsid w:val="75FC24B1"/>
    <w:rsid w:val="762714A4"/>
    <w:rsid w:val="767237B1"/>
    <w:rsid w:val="76927594"/>
    <w:rsid w:val="76B85F84"/>
    <w:rsid w:val="76F06EE8"/>
    <w:rsid w:val="771C292C"/>
    <w:rsid w:val="772860B1"/>
    <w:rsid w:val="77F3484B"/>
    <w:rsid w:val="785A672B"/>
    <w:rsid w:val="78B154DA"/>
    <w:rsid w:val="791801C9"/>
    <w:rsid w:val="793237DF"/>
    <w:rsid w:val="79D84802"/>
    <w:rsid w:val="79E83991"/>
    <w:rsid w:val="79EC2FF9"/>
    <w:rsid w:val="7A365326"/>
    <w:rsid w:val="7ADF262C"/>
    <w:rsid w:val="7AE84AD9"/>
    <w:rsid w:val="7B3D7D48"/>
    <w:rsid w:val="7B4102B0"/>
    <w:rsid w:val="7B766D0D"/>
    <w:rsid w:val="7BE26434"/>
    <w:rsid w:val="7BF07E58"/>
    <w:rsid w:val="7C2E0F18"/>
    <w:rsid w:val="7C3C243D"/>
    <w:rsid w:val="7CC163C4"/>
    <w:rsid w:val="7CD9652D"/>
    <w:rsid w:val="7D877F73"/>
    <w:rsid w:val="7DA41DF2"/>
    <w:rsid w:val="7DF67D98"/>
    <w:rsid w:val="7E264035"/>
    <w:rsid w:val="7E961F41"/>
    <w:rsid w:val="7EB87F25"/>
    <w:rsid w:val="7F0246EA"/>
    <w:rsid w:val="7F0C59E2"/>
    <w:rsid w:val="7F1F4290"/>
    <w:rsid w:val="7F2574CF"/>
    <w:rsid w:val="7F344B00"/>
    <w:rsid w:val="7F823159"/>
    <w:rsid w:val="7FA42D2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after="260" w:line="413" w:lineRule="auto"/>
      <w:outlineLvl w:val="2"/>
    </w:pPr>
    <w:rPr>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1"/>
    <w:semiHidden/>
    <w:unhideWhenUsed/>
    <w:qFormat/>
    <w:uiPriority w:val="99"/>
    <w:rPr>
      <w:sz w:val="18"/>
      <w:szCs w:val="18"/>
    </w:rPr>
  </w:style>
  <w:style w:type="paragraph" w:styleId="5">
    <w:name w:val="footer"/>
    <w:basedOn w:val="1"/>
    <w:link w:val="10"/>
    <w:qFormat/>
    <w:uiPriority w:val="99"/>
    <w:pPr>
      <w:tabs>
        <w:tab w:val="center" w:pos="4153"/>
        <w:tab w:val="right" w:pos="8306"/>
      </w:tabs>
      <w:snapToGrid w:val="0"/>
      <w:jc w:val="left"/>
    </w:pPr>
    <w:rPr>
      <w:sz w:val="18"/>
      <w:szCs w:val="18"/>
    </w:rPr>
  </w:style>
  <w:style w:type="character" w:styleId="8">
    <w:name w:val="page number"/>
    <w:basedOn w:val="7"/>
    <w:qFormat/>
    <w:uiPriority w:val="99"/>
  </w:style>
  <w:style w:type="character" w:customStyle="1" w:styleId="9">
    <w:name w:val="标题 2 Char"/>
    <w:basedOn w:val="7"/>
    <w:link w:val="2"/>
    <w:semiHidden/>
    <w:qFormat/>
    <w:uiPriority w:val="9"/>
    <w:rPr>
      <w:rFonts w:asciiTheme="majorHAnsi" w:hAnsiTheme="majorHAnsi" w:eastAsiaTheme="majorEastAsia" w:cstheme="majorBidi"/>
      <w:b/>
      <w:bCs/>
      <w:sz w:val="32"/>
      <w:szCs w:val="32"/>
    </w:rPr>
  </w:style>
  <w:style w:type="character" w:customStyle="1" w:styleId="10">
    <w:name w:val="页脚 Char"/>
    <w:basedOn w:val="7"/>
    <w:link w:val="5"/>
    <w:semiHidden/>
    <w:qFormat/>
    <w:uiPriority w:val="99"/>
    <w:rPr>
      <w:rFonts w:cs="Calibri"/>
      <w:sz w:val="18"/>
      <w:szCs w:val="18"/>
    </w:rPr>
  </w:style>
  <w:style w:type="character" w:customStyle="1" w:styleId="11">
    <w:name w:val="批注框文本 Char"/>
    <w:basedOn w:val="7"/>
    <w:link w:val="4"/>
    <w:semiHidden/>
    <w:qFormat/>
    <w:uiPriority w:val="99"/>
    <w:rPr>
      <w:rFonts w:ascii="Calibri" w:hAnsi="Calibri" w:cs="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2500</Words>
  <Characters>378</Characters>
  <Lines>3</Lines>
  <Paragraphs>5</Paragraphs>
  <TotalTime>4</TotalTime>
  <ScaleCrop>false</ScaleCrop>
  <LinksUpToDate>false</LinksUpToDate>
  <CharactersWithSpaces>2873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阳咩咩</cp:lastModifiedBy>
  <cp:lastPrinted>2021-05-26T02:23:00Z</cp:lastPrinted>
  <dcterms:modified xsi:type="dcterms:W3CDTF">2021-07-19T03:05:07Z</dcterms:modified>
  <dc:title>附件2：2018年市级部门预算说明和预算公开表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C62ECDE5A2DE4365A105DEFCACB6A678</vt:lpwstr>
  </property>
</Properties>
</file>